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1D087A" w:rsidRPr="00E316DC" w14:paraId="165401C4" w14:textId="77777777" w:rsidTr="004406E5">
        <w:trPr>
          <w:trHeight w:val="288"/>
        </w:trPr>
        <w:tc>
          <w:tcPr>
            <w:tcW w:w="59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70AD47"/>
            <w:noWrap/>
            <w:vAlign w:val="bottom"/>
            <w:hideMark/>
          </w:tcPr>
          <w:p w14:paraId="656CB476" w14:textId="4B5153DB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b/>
                <w:bCs/>
                <w:color w:val="FFFFFF"/>
                <w:sz w:val="22"/>
              </w:rPr>
            </w:pPr>
            <w:r>
              <w:rPr>
                <w:rFonts w:ascii="Aptos Display" w:hAnsi="Aptos Display" w:cs="Calibri"/>
                <w:b/>
                <w:bCs/>
                <w:color w:val="FFFFFF"/>
                <w:sz w:val="22"/>
              </w:rPr>
              <w:t>Deelnemers van 31 maart 2025 t</w:t>
            </w:r>
            <w:r>
              <w:rPr>
                <w:rFonts w:ascii="Aptos Display" w:hAnsi="Aptos Display" w:cs="Calibri"/>
                <w:b/>
                <w:bCs/>
                <w:color w:val="FFFFFF"/>
                <w:sz w:val="22"/>
              </w:rPr>
              <w:t>/</w:t>
            </w:r>
            <w:r>
              <w:rPr>
                <w:rFonts w:ascii="Aptos Display" w:hAnsi="Aptos Display" w:cs="Calibri"/>
                <w:b/>
                <w:bCs/>
                <w:color w:val="FFFFFF"/>
                <w:sz w:val="22"/>
              </w:rPr>
              <w:t>m 11 maart 2026</w:t>
            </w:r>
          </w:p>
        </w:tc>
      </w:tr>
      <w:tr w:rsidR="001D087A" w:rsidRPr="00E316DC" w14:paraId="02D04344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2FD46916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A. Lubbers Schaderegelingen</w:t>
            </w:r>
          </w:p>
        </w:tc>
      </w:tr>
      <w:tr w:rsidR="001D087A" w:rsidRPr="00E316DC" w14:paraId="4EC1C828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AB14C1E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szCs w:val="20"/>
              </w:rPr>
            </w:pPr>
            <w:r w:rsidRPr="00E316DC">
              <w:rPr>
                <w:rFonts w:ascii="Aptos Display" w:hAnsi="Aptos Display" w:cs="Calibri"/>
                <w:szCs w:val="20"/>
              </w:rPr>
              <w:t>ABW Verzekeringen</w:t>
            </w:r>
          </w:p>
        </w:tc>
      </w:tr>
      <w:tr w:rsidR="001D087A" w:rsidRPr="00E316DC" w14:paraId="5D9A3D9B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B288C45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Acrisure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(was Raetsheren/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Intermont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>)</w:t>
            </w:r>
          </w:p>
        </w:tc>
      </w:tr>
      <w:tr w:rsidR="001D087A" w:rsidRPr="00E316DC" w14:paraId="3733B3D5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13A5DF8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Allianz Verhaalservice </w:t>
            </w:r>
          </w:p>
        </w:tc>
      </w:tr>
      <w:tr w:rsidR="001D087A" w:rsidRPr="00E316DC" w14:paraId="2EF9619F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586C9D2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AMS - Accident Management Services -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LeasePlan</w:t>
            </w:r>
            <w:proofErr w:type="spellEnd"/>
          </w:p>
        </w:tc>
      </w:tr>
      <w:tr w:rsidR="001D087A" w:rsidRPr="00E316DC" w14:paraId="420E3B7A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022CC8E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Aon</w:t>
            </w:r>
            <w:proofErr w:type="spellEnd"/>
          </w:p>
        </w:tc>
      </w:tr>
      <w:tr w:rsidR="001D087A" w:rsidRPr="00E316DC" w14:paraId="78887F4C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70C93A2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Arriva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Personenvervoer Nederland BV</w:t>
            </w:r>
          </w:p>
        </w:tc>
      </w:tr>
      <w:tr w:rsidR="001D087A" w:rsidRPr="00E316DC" w14:paraId="3875703E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7887175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Arval.bv</w:t>
            </w:r>
          </w:p>
        </w:tc>
      </w:tr>
      <w:tr w:rsidR="001D087A" w:rsidRPr="00E316DC" w14:paraId="5331E7A8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C5FD318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AssuradeurenGilde BV</w:t>
            </w:r>
          </w:p>
        </w:tc>
      </w:tr>
      <w:tr w:rsidR="001D087A" w:rsidRPr="00E316DC" w14:paraId="1E8AB5F9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C90EAC1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At Lease</w:t>
            </w:r>
          </w:p>
        </w:tc>
      </w:tr>
      <w:tr w:rsidR="001D087A" w:rsidRPr="00E316DC" w14:paraId="577369B1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A73CC5A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Automotive Insurance Nederland BV</w:t>
            </w:r>
          </w:p>
        </w:tc>
      </w:tr>
      <w:tr w:rsidR="001D087A" w:rsidRPr="00E316DC" w14:paraId="07CAD059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1AA92B5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Bas Verzekeringen</w:t>
            </w:r>
          </w:p>
        </w:tc>
      </w:tr>
      <w:tr w:rsidR="001D087A" w:rsidRPr="00E316DC" w14:paraId="5826C0FF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AA7885B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BB Administratie</w:t>
            </w:r>
          </w:p>
        </w:tc>
      </w:tr>
      <w:tr w:rsidR="001D087A" w:rsidRPr="00E316DC" w14:paraId="256D249B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1C6DF30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szCs w:val="20"/>
              </w:rPr>
            </w:pPr>
            <w:r w:rsidRPr="00E316DC">
              <w:rPr>
                <w:rFonts w:ascii="Aptos Display" w:hAnsi="Aptos Display" w:cs="Calibri"/>
                <w:szCs w:val="20"/>
              </w:rPr>
              <w:t>Bielderman Koetsier Adviseurs</w:t>
            </w:r>
          </w:p>
        </w:tc>
      </w:tr>
      <w:tr w:rsidR="001D087A" w:rsidRPr="00E316DC" w14:paraId="23EF710A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72224EC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Biesbosch </w:t>
            </w:r>
            <w:proofErr w:type="gram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Assuradeuren  Anno</w:t>
            </w:r>
            <w:proofErr w:type="gram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2000</w:t>
            </w:r>
          </w:p>
        </w:tc>
      </w:tr>
      <w:tr w:rsidR="001D087A" w:rsidRPr="00E316DC" w14:paraId="5AB63B9F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3D0576A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Biesbosch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Fleet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Insurance B.V.</w:t>
            </w:r>
          </w:p>
        </w:tc>
      </w:tr>
      <w:tr w:rsidR="001D087A" w:rsidRPr="00E316DC" w14:paraId="341DCB35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C1A32DB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Bood Claim Services B.V (BCS)</w:t>
            </w:r>
          </w:p>
        </w:tc>
      </w:tr>
      <w:tr w:rsidR="001D087A" w:rsidRPr="00E316DC" w14:paraId="677F26D4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6098D50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Boot assurantie adviseurs B.V.</w:t>
            </w:r>
          </w:p>
        </w:tc>
      </w:tr>
      <w:tr w:rsidR="001D087A" w:rsidRPr="00E316DC" w14:paraId="17DC06A9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4017B18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Bourguignon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Lease B.V.</w:t>
            </w:r>
          </w:p>
        </w:tc>
      </w:tr>
      <w:tr w:rsidR="001D087A" w:rsidRPr="00E316DC" w14:paraId="4663FA67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EF84B0C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Boxsons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Autolease</w:t>
            </w:r>
          </w:p>
        </w:tc>
      </w:tr>
      <w:tr w:rsidR="001D087A" w:rsidRPr="00E316DC" w14:paraId="4263F7B7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48A22C1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Braam Assurantiën BV</w:t>
            </w:r>
          </w:p>
        </w:tc>
      </w:tr>
      <w:tr w:rsidR="001D087A" w:rsidRPr="00E316DC" w14:paraId="2B60A82B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0230AC4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Broekhuis Autoverhuur B.V.</w:t>
            </w:r>
          </w:p>
        </w:tc>
      </w:tr>
      <w:tr w:rsidR="001D087A" w:rsidRPr="00E316DC" w14:paraId="0E09CBC1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6203E7B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Broekhuis Lease</w:t>
            </w:r>
          </w:p>
        </w:tc>
      </w:tr>
      <w:tr w:rsidR="001D087A" w:rsidRPr="00E316DC" w14:paraId="5CCD5421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8DA6123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BSA Schaderegeling B.V.</w:t>
            </w:r>
          </w:p>
        </w:tc>
      </w:tr>
      <w:tr w:rsidR="001D087A" w:rsidRPr="00E316DC" w14:paraId="36EEB372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C215CB7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Can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Assurantien BV</w:t>
            </w:r>
          </w:p>
        </w:tc>
      </w:tr>
      <w:tr w:rsidR="001D087A" w:rsidRPr="00E316DC" w14:paraId="4C334D9E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E66E384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CED Nederland BV</w:t>
            </w:r>
          </w:p>
        </w:tc>
      </w:tr>
      <w:tr w:rsidR="001D087A" w:rsidRPr="00E316DC" w14:paraId="099F802F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7357A3E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szCs w:val="20"/>
              </w:rPr>
              <w:t>Claeren</w:t>
            </w:r>
            <w:proofErr w:type="spellEnd"/>
            <w:r w:rsidRPr="00E316DC">
              <w:rPr>
                <w:rFonts w:ascii="Aptos Display" w:hAnsi="Aptos Display" w:cs="Calibri"/>
                <w:szCs w:val="20"/>
              </w:rPr>
              <w:t xml:space="preserve"> B.V. </w:t>
            </w:r>
          </w:p>
        </w:tc>
      </w:tr>
      <w:tr w:rsidR="001D087A" w:rsidRPr="00E316DC" w14:paraId="2CD65492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7052E84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szCs w:val="20"/>
              </w:rPr>
              <w:t>Cooperatie</w:t>
            </w:r>
            <w:proofErr w:type="spellEnd"/>
            <w:r w:rsidRPr="00E316DC">
              <w:rPr>
                <w:rFonts w:ascii="Aptos Display" w:hAnsi="Aptos Display" w:cs="Calibri"/>
                <w:szCs w:val="20"/>
              </w:rPr>
              <w:t xml:space="preserve"> </w:t>
            </w:r>
            <w:proofErr w:type="gramStart"/>
            <w:r w:rsidRPr="00E316DC">
              <w:rPr>
                <w:rFonts w:ascii="Aptos Display" w:hAnsi="Aptos Display" w:cs="Calibri"/>
                <w:szCs w:val="20"/>
              </w:rPr>
              <w:t>C.E.B.S  UA</w:t>
            </w:r>
            <w:proofErr w:type="gramEnd"/>
          </w:p>
        </w:tc>
      </w:tr>
      <w:tr w:rsidR="001D087A" w:rsidRPr="00E316DC" w14:paraId="3A9190F6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5773DFB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Cumela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Assuradeuren</w:t>
            </w:r>
          </w:p>
        </w:tc>
      </w:tr>
      <w:tr w:rsidR="001D087A" w:rsidRPr="00E316DC" w14:paraId="42807B90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D7311D8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De Groot Coevorden</w:t>
            </w:r>
          </w:p>
        </w:tc>
      </w:tr>
      <w:tr w:rsidR="001D087A" w:rsidRPr="00E316DC" w14:paraId="6811446D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61112F6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DSV Assurantiegroep B.V.</w:t>
            </w:r>
          </w:p>
        </w:tc>
      </w:tr>
      <w:tr w:rsidR="001D087A" w:rsidRPr="00E316DC" w14:paraId="7DE3A9C8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97AFA5D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Ecclesia Risk &amp; Benefits</w:t>
            </w:r>
          </w:p>
        </w:tc>
      </w:tr>
      <w:tr w:rsidR="001D087A" w:rsidRPr="00E316DC" w14:paraId="5DCB0AE8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1F5625B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en.door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verzekeringen B.V. (voormalig Van der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Toolen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&amp; Van Oorschot)</w:t>
            </w:r>
          </w:p>
        </w:tc>
      </w:tr>
      <w:tr w:rsidR="001D087A" w:rsidRPr="00E316DC" w14:paraId="11C926F5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16E5BEB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FGD Advies en Schadeservice</w:t>
            </w:r>
          </w:p>
        </w:tc>
      </w:tr>
      <w:tr w:rsidR="001D087A" w:rsidRPr="00E316DC" w14:paraId="2491EF6F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CE83DA6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Flyct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BV</w:t>
            </w:r>
          </w:p>
        </w:tc>
      </w:tr>
      <w:tr w:rsidR="001D087A" w:rsidRPr="00E316DC" w14:paraId="17CBEBDE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D9B3EFB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Froonacker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van de Witte</w:t>
            </w:r>
          </w:p>
        </w:tc>
      </w:tr>
      <w:tr w:rsidR="001D087A" w:rsidRPr="00E316DC" w14:paraId="5F48EB9F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5245E79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Geerts Adviesgroep</w:t>
            </w:r>
          </w:p>
        </w:tc>
      </w:tr>
      <w:tr w:rsidR="001D087A" w:rsidRPr="00E316DC" w14:paraId="668AA318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B841E4A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Haarhuis Autolease B.V.</w:t>
            </w:r>
          </w:p>
        </w:tc>
      </w:tr>
      <w:tr w:rsidR="001D087A" w:rsidRPr="00E316DC" w14:paraId="5EE1BA76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F9FC1FB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Heeres Assurantien BV</w:t>
            </w:r>
          </w:p>
        </w:tc>
      </w:tr>
      <w:tr w:rsidR="001D087A" w:rsidRPr="00E316DC" w14:paraId="68CE657E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4BB1983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Hoevens Assurantien BV</w:t>
            </w:r>
          </w:p>
        </w:tc>
      </w:tr>
      <w:tr w:rsidR="001D087A" w:rsidRPr="00E316DC" w14:paraId="351C25E4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11887BC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Honias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bv</w:t>
            </w:r>
          </w:p>
        </w:tc>
      </w:tr>
      <w:tr w:rsidR="001D087A" w:rsidRPr="00E316DC" w14:paraId="0BD26C12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3E67991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Hoorn's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Schadeburo</w:t>
            </w:r>
            <w:proofErr w:type="spellEnd"/>
          </w:p>
        </w:tc>
      </w:tr>
      <w:tr w:rsidR="001D087A" w:rsidRPr="00E316DC" w14:paraId="710C6A7B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288B174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Howden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Nederland (voormalig VLC)</w:t>
            </w:r>
          </w:p>
        </w:tc>
      </w:tr>
      <w:tr w:rsidR="001D087A" w:rsidRPr="00E316DC" w14:paraId="22200F86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45DEB7F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ICLH  International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Car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Lease Holding</w:t>
            </w:r>
          </w:p>
        </w:tc>
      </w:tr>
      <w:tr w:rsidR="001D087A" w:rsidRPr="00E316DC" w14:paraId="001D2354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3005DD9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In-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Staet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B.V. </w:t>
            </w:r>
          </w:p>
        </w:tc>
      </w:tr>
      <w:tr w:rsidR="001D087A" w:rsidRPr="00E316DC" w14:paraId="6C62B143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8E10AA7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lastRenderedPageBreak/>
              <w:t>Insuraquest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(was VOC b.v.)</w:t>
            </w:r>
          </w:p>
        </w:tc>
      </w:tr>
      <w:tr w:rsidR="001D087A" w:rsidRPr="00E316DC" w14:paraId="6051E1D5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13744AA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Joh. Mourik &amp;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Co.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Holding B.V. en/of gelieerde ondernemingen</w:t>
            </w:r>
          </w:p>
        </w:tc>
      </w:tr>
      <w:tr w:rsidR="001D087A" w:rsidRPr="00E316DC" w14:paraId="135F001D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0518B6F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Juris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Schaderegeling &amp; Incasso</w:t>
            </w:r>
          </w:p>
        </w:tc>
      </w:tr>
      <w:tr w:rsidR="001D087A" w:rsidRPr="00E316DC" w14:paraId="4F530FA2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E940365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Justise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B.V.</w:t>
            </w:r>
          </w:p>
        </w:tc>
      </w:tr>
      <w:tr w:rsidR="001D087A" w:rsidRPr="00E316DC" w14:paraId="47A4C857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08BA0CE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Koopman Assurantiën BV</w:t>
            </w:r>
          </w:p>
        </w:tc>
      </w:tr>
      <w:tr w:rsidR="001D087A" w:rsidRPr="00E316DC" w14:paraId="6C57398A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7A692B7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Light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insurance</w:t>
            </w:r>
            <w:proofErr w:type="spellEnd"/>
          </w:p>
        </w:tc>
      </w:tr>
      <w:tr w:rsidR="001D087A" w:rsidRPr="00E316DC" w14:paraId="703F68A4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94752C6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Marsh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B.V. </w:t>
            </w:r>
          </w:p>
        </w:tc>
      </w:tr>
      <w:tr w:rsidR="001D087A" w:rsidRPr="00E316DC" w14:paraId="15BAF367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B9E5F4D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Meijers Assurantiën</w:t>
            </w:r>
          </w:p>
        </w:tc>
      </w:tr>
      <w:tr w:rsidR="001D087A" w:rsidRPr="00E316DC" w14:paraId="0560D3D2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0187582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Mercedes-Benz Assuradeuren B.V.</w:t>
            </w:r>
          </w:p>
        </w:tc>
      </w:tr>
      <w:tr w:rsidR="001D087A" w:rsidRPr="00E316DC" w14:paraId="2C55C481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EAADFBA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MHC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Mobility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B.V.</w:t>
            </w:r>
          </w:p>
        </w:tc>
      </w:tr>
      <w:tr w:rsidR="001D087A" w:rsidRPr="00E316DC" w14:paraId="164D8C61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1604BEC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szCs w:val="20"/>
              </w:rPr>
              <w:t>myCASCO</w:t>
            </w:r>
            <w:proofErr w:type="spellEnd"/>
          </w:p>
        </w:tc>
      </w:tr>
      <w:tr w:rsidR="001D087A" w:rsidRPr="00E316DC" w14:paraId="39EE4B38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80F3197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P.H. Verheul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Assurantie-Makelaars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B.V.</w:t>
            </w:r>
          </w:p>
        </w:tc>
      </w:tr>
      <w:tr w:rsidR="001D087A" w:rsidRPr="00E316DC" w14:paraId="7394B27D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5C86343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szCs w:val="20"/>
              </w:rPr>
            </w:pPr>
            <w:r w:rsidRPr="00E316DC">
              <w:rPr>
                <w:rFonts w:ascii="Aptos Display" w:hAnsi="Aptos Display" w:cs="Calibri"/>
                <w:szCs w:val="20"/>
              </w:rPr>
              <w:t>Peters Assurantiën B.V.</w:t>
            </w:r>
          </w:p>
        </w:tc>
      </w:tr>
      <w:tr w:rsidR="001D087A" w:rsidRPr="00E316DC" w14:paraId="017CFF71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A906B9C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PIM Lease BV</w:t>
            </w:r>
          </w:p>
        </w:tc>
      </w:tr>
      <w:tr w:rsidR="001D087A" w:rsidRPr="00E316DC" w14:paraId="0CE859C8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3603545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Preventass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BV</w:t>
            </w:r>
          </w:p>
        </w:tc>
      </w:tr>
      <w:tr w:rsidR="001D087A" w:rsidRPr="00E316DC" w14:paraId="65AE4F62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8C91819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Quintes Underwriting</w:t>
            </w:r>
          </w:p>
        </w:tc>
      </w:tr>
      <w:tr w:rsidR="001D087A" w:rsidRPr="00E316DC" w14:paraId="04E2475A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B285218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RechtBij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hodn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RechtBij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Wagenparken</w:t>
            </w:r>
          </w:p>
        </w:tc>
      </w:tr>
      <w:tr w:rsidR="001D087A" w:rsidRPr="00E316DC" w14:paraId="337B1C47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7D7F912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Rechtswinkel voor Ondernemers</w:t>
            </w:r>
          </w:p>
        </w:tc>
      </w:tr>
      <w:tr w:rsidR="001D087A" w:rsidRPr="00E316DC" w14:paraId="22907D87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4F8A9A3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S&amp;G Assurantiën</w:t>
            </w:r>
          </w:p>
        </w:tc>
      </w:tr>
      <w:tr w:rsidR="001D087A" w:rsidRPr="00E316DC" w14:paraId="6C151BC3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C2C5712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SAA Hoofdstad b.v.</w:t>
            </w:r>
          </w:p>
        </w:tc>
      </w:tr>
      <w:tr w:rsidR="001D087A" w:rsidRPr="00E316DC" w14:paraId="523FF80E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0D6F9F6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SAA Verzekeringen BV</w:t>
            </w:r>
          </w:p>
        </w:tc>
      </w:tr>
      <w:tr w:rsidR="001D087A" w:rsidRPr="00E316DC" w14:paraId="7FF58B0C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B1C18EF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SchadeRegres.nl</w:t>
            </w:r>
          </w:p>
        </w:tc>
      </w:tr>
      <w:tr w:rsidR="001D087A" w:rsidRPr="00E316DC" w14:paraId="1473393D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9E43FE0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szCs w:val="20"/>
              </w:rPr>
            </w:pPr>
            <w:r w:rsidRPr="00E316DC">
              <w:rPr>
                <w:rFonts w:ascii="Aptos Display" w:hAnsi="Aptos Display" w:cs="Calibri"/>
                <w:szCs w:val="20"/>
              </w:rPr>
              <w:t>Scharenborg bedrijfsverzekeraars</w:t>
            </w:r>
          </w:p>
        </w:tc>
      </w:tr>
      <w:tr w:rsidR="001D087A" w:rsidRPr="00E316DC" w14:paraId="5620BFAC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36789DE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szCs w:val="20"/>
              </w:rPr>
              <w:t>Sedgwick</w:t>
            </w:r>
            <w:proofErr w:type="spellEnd"/>
            <w:r w:rsidRPr="00E316DC">
              <w:rPr>
                <w:rFonts w:ascii="Aptos Display" w:hAnsi="Aptos Display" w:cs="Calibri"/>
                <w:szCs w:val="20"/>
              </w:rPr>
              <w:t xml:space="preserve"> TPA</w:t>
            </w:r>
          </w:p>
        </w:tc>
      </w:tr>
      <w:tr w:rsidR="001D087A" w:rsidRPr="00E316DC" w14:paraId="0163BB49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16601E6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Smart schade</w:t>
            </w:r>
          </w:p>
        </w:tc>
      </w:tr>
      <w:tr w:rsidR="001D087A" w:rsidRPr="00E316DC" w14:paraId="3283305F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A14941E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SmiLease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B.V.</w:t>
            </w:r>
          </w:p>
        </w:tc>
      </w:tr>
      <w:tr w:rsidR="001D087A" w:rsidRPr="00E316DC" w14:paraId="4AC8D1D6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DE379E9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TIS Risk Managers</w:t>
            </w:r>
          </w:p>
        </w:tc>
      </w:tr>
      <w:tr w:rsidR="001D087A" w:rsidRPr="00E316DC" w14:paraId="0D4729B4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526D1B1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Timmermans Verzekeringen B.V.</w:t>
            </w:r>
          </w:p>
        </w:tc>
      </w:tr>
      <w:tr w:rsidR="001D087A" w:rsidRPr="00E316DC" w14:paraId="68860BDB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E178CEB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Uiterwijk Winkel Verzekeringen</w:t>
            </w:r>
          </w:p>
        </w:tc>
      </w:tr>
      <w:tr w:rsidR="001D087A" w:rsidRPr="00E316DC" w14:paraId="7EE5D78D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981AD64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szCs w:val="20"/>
              </w:rPr>
            </w:pPr>
            <w:r w:rsidRPr="00E316DC">
              <w:rPr>
                <w:rFonts w:ascii="Aptos Display" w:hAnsi="Aptos Display" w:cs="Calibri"/>
                <w:szCs w:val="20"/>
              </w:rPr>
              <w:t xml:space="preserve">Van </w:t>
            </w:r>
            <w:proofErr w:type="spellStart"/>
            <w:r w:rsidRPr="00E316DC">
              <w:rPr>
                <w:rFonts w:ascii="Aptos Display" w:hAnsi="Aptos Display" w:cs="Calibri"/>
                <w:szCs w:val="20"/>
              </w:rPr>
              <w:t>Ameyde</w:t>
            </w:r>
            <w:proofErr w:type="spellEnd"/>
            <w:r w:rsidRPr="00E316DC">
              <w:rPr>
                <w:rFonts w:ascii="Aptos Display" w:hAnsi="Aptos Display" w:cs="Calibri"/>
                <w:szCs w:val="20"/>
              </w:rPr>
              <w:t xml:space="preserve"> Nederland BV</w:t>
            </w:r>
          </w:p>
        </w:tc>
      </w:tr>
      <w:tr w:rsidR="001D087A" w:rsidRPr="00E316DC" w14:paraId="40D98785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28B30BC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Van der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Straaten's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Assurantiekantoor</w:t>
            </w:r>
          </w:p>
        </w:tc>
      </w:tr>
      <w:tr w:rsidR="001D087A" w:rsidRPr="00E316DC" w14:paraId="0FB71BFE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430D061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Van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Kuringe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Adviesgroep</w:t>
            </w:r>
          </w:p>
        </w:tc>
      </w:tr>
      <w:tr w:rsidR="001D087A" w:rsidRPr="00E316DC" w14:paraId="300BE3C0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EB99166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Van Mossel Autoschade</w:t>
            </w:r>
          </w:p>
        </w:tc>
      </w:tr>
      <w:tr w:rsidR="001D087A" w:rsidRPr="00E316DC" w14:paraId="035575B4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32D1397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Van Velsen Automotive</w:t>
            </w:r>
          </w:p>
        </w:tc>
      </w:tr>
      <w:tr w:rsidR="001D087A" w:rsidRPr="00E316DC" w14:paraId="5E3D1C70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09138CF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szCs w:val="20"/>
              </w:rPr>
              <w:t>Veldsink</w:t>
            </w:r>
            <w:proofErr w:type="spellEnd"/>
            <w:r w:rsidRPr="00E316DC">
              <w:rPr>
                <w:rFonts w:ascii="Aptos Display" w:hAnsi="Aptos Display" w:cs="Calibri"/>
                <w:szCs w:val="20"/>
              </w:rPr>
              <w:t xml:space="preserve"> Advies (vestigingen) </w:t>
            </w:r>
          </w:p>
        </w:tc>
      </w:tr>
      <w:tr w:rsidR="001D087A" w:rsidRPr="00E316DC" w14:paraId="5C585A01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978DA37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Verbossen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Assurantiën en Risicobeheer B.V. </w:t>
            </w:r>
          </w:p>
        </w:tc>
      </w:tr>
      <w:tr w:rsidR="001D087A" w:rsidRPr="00E316DC" w14:paraId="3EBDE524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481B307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Vervoer &amp; Materieel, Gemeente Rotterdam</w:t>
            </w:r>
          </w:p>
        </w:tc>
      </w:tr>
      <w:tr w:rsidR="001D087A" w:rsidRPr="00E316DC" w14:paraId="7511C8D8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60C6881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Verzekeringsadviesbureau Van Egdom B.V.</w:t>
            </w:r>
          </w:p>
        </w:tc>
      </w:tr>
      <w:tr w:rsidR="001D087A" w:rsidRPr="00E316DC" w14:paraId="7808FF43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652F836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Volkswagen Pon Financial Services B.V.</w:t>
            </w:r>
          </w:p>
        </w:tc>
      </w:tr>
      <w:tr w:rsidR="001D087A" w:rsidRPr="00E316DC" w14:paraId="02CB19C3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C35B0C4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Voogd &amp; Voogd Verzekeringen</w:t>
            </w:r>
          </w:p>
        </w:tc>
      </w:tr>
      <w:tr w:rsidR="001D087A" w:rsidRPr="00E316DC" w14:paraId="7ABD83D0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4A7F70D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Vrieling Adviesgroep</w:t>
            </w:r>
          </w:p>
        </w:tc>
      </w:tr>
      <w:tr w:rsidR="001D087A" w:rsidRPr="00E316DC" w14:paraId="0FDB16C7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376CE74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YAY Verzekeringen</w:t>
            </w:r>
          </w:p>
        </w:tc>
      </w:tr>
      <w:tr w:rsidR="001D087A" w:rsidRPr="00E316DC" w14:paraId="67FB72F3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3059394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Zandstra Financieel Advies B.V.</w:t>
            </w:r>
          </w:p>
        </w:tc>
      </w:tr>
      <w:tr w:rsidR="001D087A" w:rsidRPr="00E316DC" w14:paraId="237FD13C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BA7B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</w:p>
        </w:tc>
      </w:tr>
      <w:tr w:rsidR="001D087A" w:rsidRPr="00E316DC" w14:paraId="576AC3A4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AA862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</w:p>
        </w:tc>
      </w:tr>
      <w:tr w:rsidR="001D087A" w:rsidRPr="00E316DC" w14:paraId="7A7C2E35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05726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</w:p>
        </w:tc>
      </w:tr>
      <w:tr w:rsidR="001D087A" w:rsidRPr="00E316DC" w14:paraId="39B97C75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AC8E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D087A" w:rsidRPr="00E316DC" w14:paraId="3E17A091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70AD47"/>
            <w:noWrap/>
            <w:vAlign w:val="bottom"/>
            <w:hideMark/>
          </w:tcPr>
          <w:p w14:paraId="1BE8692D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b/>
                <w:bCs/>
                <w:color w:val="FFFFFF"/>
                <w:sz w:val="22"/>
              </w:rPr>
            </w:pPr>
            <w:r w:rsidRPr="00E316DC">
              <w:rPr>
                <w:rFonts w:ascii="Aptos Display" w:hAnsi="Aptos Display" w:cs="Calibri"/>
                <w:b/>
                <w:bCs/>
                <w:color w:val="FFFFFF"/>
                <w:sz w:val="22"/>
              </w:rPr>
              <w:lastRenderedPageBreak/>
              <w:t>Deelnemende verzekeraars</w:t>
            </w:r>
          </w:p>
        </w:tc>
      </w:tr>
      <w:tr w:rsidR="001D087A" w:rsidRPr="00E316DC" w14:paraId="26E28554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B779D83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a.s.r. Schadeverzekering N.V.</w:t>
            </w:r>
          </w:p>
        </w:tc>
      </w:tr>
      <w:tr w:rsidR="001D087A" w:rsidRPr="00E316DC" w14:paraId="38D2B3EE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B21C014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ABN AMRO Schadeverzekering NV</w:t>
            </w:r>
          </w:p>
        </w:tc>
      </w:tr>
      <w:tr w:rsidR="001D087A" w:rsidRPr="00E316DC" w14:paraId="66D4C6EE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64D8430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Achmea Services NV,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hodn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Achmea Diensten </w:t>
            </w:r>
          </w:p>
        </w:tc>
      </w:tr>
      <w:tr w:rsidR="001D087A" w:rsidRPr="00E316DC" w14:paraId="3DAA58D7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BE079B9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Allianz Benelux N.V. - Dutch branch</w:t>
            </w:r>
          </w:p>
        </w:tc>
      </w:tr>
      <w:tr w:rsidR="001D087A" w:rsidRPr="00E316DC" w14:paraId="02D5A32F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B1F1782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Allianz Nederland Schadeverzekering</w:t>
            </w:r>
          </w:p>
        </w:tc>
      </w:tr>
      <w:tr w:rsidR="001D087A" w:rsidRPr="00E316DC" w14:paraId="6CF83207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8E1E417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Ansvar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Verzekeringsmaatschappij</w:t>
            </w:r>
          </w:p>
        </w:tc>
      </w:tr>
      <w:tr w:rsidR="001D087A" w:rsidRPr="00E316DC" w14:paraId="1CA1A87C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8A42810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Baloise Belgium NV - bijkantoor Nederland</w:t>
            </w:r>
          </w:p>
        </w:tc>
      </w:tr>
      <w:tr w:rsidR="001D087A" w:rsidRPr="00E316DC" w14:paraId="476D877B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00C95925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Bovemij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Juridische Diensten B.V.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hodn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Bovemij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Rechtshulp</w:t>
            </w:r>
          </w:p>
        </w:tc>
      </w:tr>
      <w:tr w:rsidR="001D087A" w:rsidRPr="00E316DC" w14:paraId="42BE9100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FF34583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De Goudse Verzekeringen</w:t>
            </w:r>
          </w:p>
        </w:tc>
      </w:tr>
      <w:tr w:rsidR="001D087A" w:rsidRPr="00E316DC" w14:paraId="1DF74093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3CD81BF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HDI Global SE,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the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Netherlands</w:t>
            </w:r>
          </w:p>
        </w:tc>
      </w:tr>
      <w:tr w:rsidR="001D087A" w:rsidRPr="00E316DC" w14:paraId="71788802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175061E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Klaverblad Verzekeringen</w:t>
            </w:r>
          </w:p>
        </w:tc>
      </w:tr>
      <w:tr w:rsidR="001D087A" w:rsidRPr="00E316DC" w14:paraId="739FE87B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806B022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Mercurius Schadeverzekeringen NV</w:t>
            </w:r>
          </w:p>
        </w:tc>
      </w:tr>
      <w:tr w:rsidR="001D087A" w:rsidRPr="00E316DC" w14:paraId="0F051151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8A6B89C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MS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Amlin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Insurance SE</w:t>
            </w:r>
          </w:p>
        </w:tc>
      </w:tr>
      <w:tr w:rsidR="001D087A" w:rsidRPr="00E316DC" w14:paraId="59D12E7A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075FF55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N.V. Schadeverzekering Maatschappij </w:t>
            </w: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Bovemij</w:t>
            </w:r>
            <w:proofErr w:type="spellEnd"/>
          </w:p>
        </w:tc>
      </w:tr>
      <w:tr w:rsidR="001D087A" w:rsidRPr="00E316DC" w14:paraId="5DBDAABE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48F0ECEA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N.V. Univé Schade</w:t>
            </w:r>
          </w:p>
        </w:tc>
      </w:tr>
      <w:tr w:rsidR="001D087A" w:rsidRPr="00E316DC" w14:paraId="131F4492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504C1DC7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Nationale Nederlanden Schadeverzekering Maatschappij N.V.</w:t>
            </w:r>
          </w:p>
        </w:tc>
      </w:tr>
      <w:tr w:rsidR="001D087A" w:rsidRPr="00E316DC" w14:paraId="6E96940B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31965062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O.V.M. "SOM" U.A.</w:t>
            </w:r>
          </w:p>
        </w:tc>
      </w:tr>
      <w:tr w:rsidR="001D087A" w:rsidRPr="00E316DC" w14:paraId="05DCAB9F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21BA5F09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TVM verzekeringen N.V.</w:t>
            </w:r>
          </w:p>
        </w:tc>
      </w:tr>
      <w:tr w:rsidR="001D087A" w:rsidRPr="00E316DC" w14:paraId="7EF44C29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DB0B3F2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UVM Verzekeringsmaatschappij NV</w:t>
            </w:r>
          </w:p>
        </w:tc>
      </w:tr>
      <w:tr w:rsidR="001D087A" w:rsidRPr="00E316DC" w14:paraId="085757D9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7D1ACDD5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Vereende Verzekeringen N.V. </w:t>
            </w:r>
          </w:p>
        </w:tc>
      </w:tr>
      <w:tr w:rsidR="001D087A" w:rsidRPr="00E316DC" w14:paraId="21201552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19D1CFDD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proofErr w:type="spellStart"/>
            <w:r w:rsidRPr="00E316DC">
              <w:rPr>
                <w:rFonts w:ascii="Aptos Display" w:hAnsi="Aptos Display" w:cs="Calibri"/>
                <w:color w:val="000000"/>
                <w:szCs w:val="20"/>
              </w:rPr>
              <w:t>VvAA</w:t>
            </w:r>
            <w:proofErr w:type="spellEnd"/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 Schadeverzekeringen N.V.</w:t>
            </w:r>
          </w:p>
        </w:tc>
      </w:tr>
      <w:tr w:rsidR="001D087A" w:rsidRPr="00E316DC" w14:paraId="0AC2AAD2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6DEC1EE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>Waarborgfonds Motorverkeer</w:t>
            </w:r>
          </w:p>
        </w:tc>
      </w:tr>
      <w:tr w:rsidR="001D087A" w:rsidRPr="00E316DC" w14:paraId="081C9373" w14:textId="77777777" w:rsidTr="004406E5">
        <w:trPr>
          <w:trHeight w:val="288"/>
        </w:trPr>
        <w:tc>
          <w:tcPr>
            <w:tcW w:w="596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noWrap/>
            <w:vAlign w:val="bottom"/>
            <w:hideMark/>
          </w:tcPr>
          <w:p w14:paraId="691FE838" w14:textId="77777777" w:rsidR="001D087A" w:rsidRPr="00E316DC" w:rsidRDefault="001D087A" w:rsidP="004406E5">
            <w:pPr>
              <w:tabs>
                <w:tab w:val="clear" w:pos="56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ptos Display" w:hAnsi="Aptos Display" w:cs="Calibri"/>
                <w:color w:val="000000"/>
                <w:szCs w:val="20"/>
              </w:rPr>
            </w:pPr>
            <w:r w:rsidRPr="00E316DC">
              <w:rPr>
                <w:rFonts w:ascii="Aptos Display" w:hAnsi="Aptos Display" w:cs="Calibri"/>
                <w:color w:val="000000"/>
                <w:szCs w:val="20"/>
              </w:rPr>
              <w:t xml:space="preserve">ZLM Verzekeringen </w:t>
            </w:r>
          </w:p>
        </w:tc>
      </w:tr>
    </w:tbl>
    <w:p w14:paraId="15BE500A" w14:textId="77777777" w:rsidR="000B1BBF" w:rsidRDefault="000B1BBF"/>
    <w:sectPr w:rsidR="000B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63"/>
    <w:rsid w:val="000B1BBF"/>
    <w:rsid w:val="001D087A"/>
    <w:rsid w:val="001D2907"/>
    <w:rsid w:val="006004EA"/>
    <w:rsid w:val="006A2202"/>
    <w:rsid w:val="009E5163"/>
    <w:rsid w:val="00D26031"/>
    <w:rsid w:val="00F3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4376"/>
  <w15:chartTrackingRefBased/>
  <w15:docId w15:val="{2468707B-04C7-421F-8CFC-28114CA8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unhideWhenUsed/>
    <w:rsid w:val="001D087A"/>
    <w:pPr>
      <w:tabs>
        <w:tab w:val="left" w:pos="56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kern w:val="0"/>
      <w:sz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E5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5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5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5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5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5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5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5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5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5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5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51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51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51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51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51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51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5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5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5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5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51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51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51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5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51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5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2710</Characters>
  <Application>Microsoft Office Word</Application>
  <DocSecurity>0</DocSecurity>
  <Lines>123</Lines>
  <Paragraphs>134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 Jorissen-Blommaert</dc:creator>
  <cp:keywords/>
  <dc:description/>
  <cp:lastModifiedBy>Riet Jorissen-Blommaert</cp:lastModifiedBy>
  <cp:revision>2</cp:revision>
  <dcterms:created xsi:type="dcterms:W3CDTF">2026-03-11T11:16:00Z</dcterms:created>
  <dcterms:modified xsi:type="dcterms:W3CDTF">2026-03-11T11:16:00Z</dcterms:modified>
</cp:coreProperties>
</file>