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717"/>
        <w:gridCol w:w="2254"/>
      </w:tblGrid>
      <w:tr w:rsidR="007B504B" w:rsidRPr="00B11E51" w14:paraId="457A97D4" w14:textId="77777777" w:rsidTr="00333A71">
        <w:trPr>
          <w:trHeight w:val="283"/>
        </w:trPr>
        <w:tc>
          <w:tcPr>
            <w:tcW w:w="9209" w:type="dxa"/>
            <w:gridSpan w:val="3"/>
            <w:noWrap/>
            <w:hideMark/>
          </w:tcPr>
          <w:p w14:paraId="3B1F93EC" w14:textId="15AC36A9" w:rsidR="007B504B" w:rsidRPr="00B11E51" w:rsidRDefault="007B504B" w:rsidP="00B11E51">
            <w:pPr>
              <w:pStyle w:val="vvvstandaard"/>
              <w:spacing w:line="240" w:lineRule="auto"/>
              <w:jc w:val="left"/>
              <w:rPr>
                <w:b/>
                <w:bCs/>
              </w:rPr>
            </w:pPr>
            <w:bookmarkStart w:id="0" w:name="RANGE!B2:D36"/>
            <w:r w:rsidRPr="00B11E51">
              <w:rPr>
                <w:b/>
                <w:bCs/>
              </w:rPr>
              <w:t xml:space="preserve">Omvang relevante markten t.b.v. </w:t>
            </w:r>
            <w:proofErr w:type="spellStart"/>
            <w:r w:rsidRPr="00B11E51">
              <w:rPr>
                <w:b/>
                <w:bCs/>
              </w:rPr>
              <w:t>self</w:t>
            </w:r>
            <w:proofErr w:type="spellEnd"/>
            <w:r w:rsidR="004B1D6A">
              <w:rPr>
                <w:b/>
                <w:bCs/>
              </w:rPr>
              <w:t xml:space="preserve"> </w:t>
            </w:r>
            <w:r w:rsidRPr="00B11E51">
              <w:rPr>
                <w:b/>
                <w:bCs/>
              </w:rPr>
              <w:t>assessment verzekeringspanels</w:t>
            </w:r>
            <w:bookmarkEnd w:id="0"/>
          </w:p>
        </w:tc>
      </w:tr>
      <w:tr w:rsidR="00B11E51" w:rsidRPr="00B11E51" w14:paraId="3E913280" w14:textId="77777777" w:rsidTr="00333A71">
        <w:trPr>
          <w:trHeight w:val="283"/>
        </w:trPr>
        <w:tc>
          <w:tcPr>
            <w:tcW w:w="5238" w:type="dxa"/>
            <w:hideMark/>
          </w:tcPr>
          <w:p w14:paraId="0B1F8AB8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  <w:rPr>
                <w:b/>
                <w:bCs/>
              </w:rPr>
            </w:pPr>
            <w:r w:rsidRPr="00B11E51">
              <w:rPr>
                <w:b/>
                <w:bCs/>
              </w:rPr>
              <w:t>Productcluster</w:t>
            </w:r>
          </w:p>
        </w:tc>
        <w:tc>
          <w:tcPr>
            <w:tcW w:w="1717" w:type="dxa"/>
            <w:hideMark/>
          </w:tcPr>
          <w:p w14:paraId="54195B22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  <w:rPr>
                <w:b/>
                <w:bCs/>
              </w:rPr>
            </w:pPr>
            <w:r w:rsidRPr="00B11E51">
              <w:rPr>
                <w:b/>
                <w:bCs/>
              </w:rPr>
              <w:t>Bijzonderheden</w:t>
            </w:r>
          </w:p>
        </w:tc>
        <w:tc>
          <w:tcPr>
            <w:tcW w:w="2254" w:type="dxa"/>
            <w:hideMark/>
          </w:tcPr>
          <w:p w14:paraId="6BC9FA38" w14:textId="2B7D5139" w:rsidR="007B504B" w:rsidRPr="00B11E51" w:rsidRDefault="007B504B" w:rsidP="00333A71">
            <w:pPr>
              <w:pStyle w:val="vvvstandaard"/>
              <w:spacing w:line="240" w:lineRule="auto"/>
              <w:jc w:val="right"/>
              <w:rPr>
                <w:b/>
                <w:bCs/>
              </w:rPr>
            </w:pPr>
            <w:r w:rsidRPr="00B11E51">
              <w:rPr>
                <w:b/>
                <w:bCs/>
              </w:rPr>
              <w:t>Marktomvang 201</w:t>
            </w:r>
            <w:r w:rsidR="007C7F1E">
              <w:rPr>
                <w:b/>
                <w:bCs/>
              </w:rPr>
              <w:t>8</w:t>
            </w:r>
            <w:r w:rsidRPr="00B11E51">
              <w:rPr>
                <w:b/>
                <w:bCs/>
              </w:rPr>
              <w:t xml:space="preserve"> *</w:t>
            </w:r>
          </w:p>
        </w:tc>
      </w:tr>
      <w:tr w:rsidR="007B504B" w:rsidRPr="00B11E51" w14:paraId="56BA4692" w14:textId="77777777" w:rsidTr="00333A71">
        <w:trPr>
          <w:trHeight w:val="283"/>
        </w:trPr>
        <w:tc>
          <w:tcPr>
            <w:tcW w:w="9209" w:type="dxa"/>
            <w:gridSpan w:val="3"/>
            <w:hideMark/>
          </w:tcPr>
          <w:p w14:paraId="634B3197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B11E51">
              <w:rPr>
                <w:b/>
                <w:bCs/>
                <w:i/>
                <w:iCs/>
              </w:rPr>
              <w:t>--- verzekeringen in verband met brand en aanverwante risico’s voor:</w:t>
            </w:r>
          </w:p>
        </w:tc>
      </w:tr>
      <w:tr w:rsidR="00B11E51" w:rsidRPr="00B11E51" w14:paraId="7D14D68E" w14:textId="77777777" w:rsidTr="00333A71">
        <w:trPr>
          <w:trHeight w:val="283"/>
        </w:trPr>
        <w:tc>
          <w:tcPr>
            <w:tcW w:w="5238" w:type="dxa"/>
            <w:hideMark/>
          </w:tcPr>
          <w:p w14:paraId="43322B47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</w:pPr>
            <w:r w:rsidRPr="00B11E51">
              <w:t>1. woonhuis</w:t>
            </w:r>
          </w:p>
        </w:tc>
        <w:tc>
          <w:tcPr>
            <w:tcW w:w="1717" w:type="dxa"/>
            <w:hideMark/>
          </w:tcPr>
          <w:p w14:paraId="76B30D45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4E10FF09" w14:textId="56FC6588" w:rsidR="007B504B" w:rsidRPr="00B11E51" w:rsidRDefault="00FB1A4F" w:rsidP="00F50A8E">
            <w:pPr>
              <w:pStyle w:val="vvvstandaard"/>
              <w:spacing w:line="240" w:lineRule="auto"/>
              <w:jc w:val="right"/>
            </w:pPr>
            <w:r>
              <w:t>1.0</w:t>
            </w:r>
            <w:r w:rsidR="00F50A8E">
              <w:t>72</w:t>
            </w:r>
          </w:p>
        </w:tc>
      </w:tr>
      <w:tr w:rsidR="00B11E51" w:rsidRPr="00B11E51" w14:paraId="39C16BC6" w14:textId="77777777" w:rsidTr="00333A71">
        <w:trPr>
          <w:trHeight w:val="283"/>
        </w:trPr>
        <w:tc>
          <w:tcPr>
            <w:tcW w:w="5238" w:type="dxa"/>
            <w:hideMark/>
          </w:tcPr>
          <w:p w14:paraId="23780112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</w:pPr>
            <w:r w:rsidRPr="00B11E51">
              <w:t>2. inboedel</w:t>
            </w:r>
          </w:p>
        </w:tc>
        <w:tc>
          <w:tcPr>
            <w:tcW w:w="1717" w:type="dxa"/>
            <w:hideMark/>
          </w:tcPr>
          <w:p w14:paraId="4DCDD034" w14:textId="77777777" w:rsidR="007B504B" w:rsidRPr="00B11E51" w:rsidRDefault="007B504B" w:rsidP="00B11E51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6BB92B5C" w14:textId="651F791C" w:rsidR="007B504B" w:rsidRPr="00B11E51" w:rsidRDefault="00FB1A4F" w:rsidP="00F50A8E">
            <w:pPr>
              <w:pStyle w:val="vvvstandaard"/>
              <w:spacing w:line="240" w:lineRule="auto"/>
              <w:jc w:val="right"/>
            </w:pPr>
            <w:r>
              <w:t>97</w:t>
            </w:r>
            <w:r w:rsidR="00F50A8E">
              <w:t>4</w:t>
            </w:r>
          </w:p>
        </w:tc>
      </w:tr>
      <w:tr w:rsidR="00945CA0" w:rsidRPr="00B11E51" w14:paraId="1602BF07" w14:textId="77777777" w:rsidTr="00333A71">
        <w:trPr>
          <w:trHeight w:val="283"/>
        </w:trPr>
        <w:tc>
          <w:tcPr>
            <w:tcW w:w="5238" w:type="dxa"/>
            <w:hideMark/>
          </w:tcPr>
          <w:p w14:paraId="4C504E71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3. kostbaarheden</w:t>
            </w:r>
          </w:p>
        </w:tc>
        <w:tc>
          <w:tcPr>
            <w:tcW w:w="1717" w:type="dxa"/>
            <w:hideMark/>
          </w:tcPr>
          <w:p w14:paraId="3FDE11C7" w14:textId="2F52EF2D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niet beschikbaar</w:t>
            </w:r>
          </w:p>
        </w:tc>
        <w:tc>
          <w:tcPr>
            <w:tcW w:w="2254" w:type="dxa"/>
            <w:noWrap/>
            <w:hideMark/>
          </w:tcPr>
          <w:p w14:paraId="455CD922" w14:textId="433ECA8F" w:rsidR="00945CA0" w:rsidRPr="00B11E51" w:rsidRDefault="00F50A8E" w:rsidP="00945CA0">
            <w:pPr>
              <w:pStyle w:val="vvvstandaard"/>
              <w:spacing w:line="240" w:lineRule="auto"/>
              <w:jc w:val="right"/>
            </w:pPr>
            <w:r>
              <w:t>57</w:t>
            </w:r>
          </w:p>
        </w:tc>
      </w:tr>
      <w:tr w:rsidR="00945CA0" w:rsidRPr="00B11E51" w14:paraId="7AE2087B" w14:textId="77777777" w:rsidTr="00333A71">
        <w:trPr>
          <w:trHeight w:val="283"/>
        </w:trPr>
        <w:tc>
          <w:tcPr>
            <w:tcW w:w="5238" w:type="dxa"/>
            <w:hideMark/>
          </w:tcPr>
          <w:p w14:paraId="02672293" w14:textId="13D73039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4. gebouwen</w:t>
            </w:r>
          </w:p>
        </w:tc>
        <w:tc>
          <w:tcPr>
            <w:tcW w:w="1717" w:type="dxa"/>
            <w:vMerge w:val="restart"/>
            <w:hideMark/>
          </w:tcPr>
          <w:p w14:paraId="49A60944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niet als aparte categorieën beschikbaar</w:t>
            </w:r>
          </w:p>
        </w:tc>
        <w:tc>
          <w:tcPr>
            <w:tcW w:w="2254" w:type="dxa"/>
            <w:vMerge w:val="restart"/>
            <w:noWrap/>
            <w:hideMark/>
          </w:tcPr>
          <w:p w14:paraId="01BE4176" w14:textId="64AA0E62" w:rsidR="00945CA0" w:rsidRPr="00B11E51" w:rsidRDefault="00945CA0" w:rsidP="00FB1A4F">
            <w:pPr>
              <w:pStyle w:val="vvvstandaard"/>
              <w:spacing w:line="240" w:lineRule="auto"/>
              <w:jc w:val="right"/>
            </w:pPr>
            <w:r w:rsidRPr="00B11E51">
              <w:t>1.</w:t>
            </w:r>
            <w:r w:rsidR="00F50A8E">
              <w:t>514</w:t>
            </w:r>
          </w:p>
        </w:tc>
      </w:tr>
      <w:tr w:rsidR="00945CA0" w:rsidRPr="00B11E51" w14:paraId="0CF03709" w14:textId="77777777" w:rsidTr="00333A71">
        <w:trPr>
          <w:trHeight w:val="283"/>
        </w:trPr>
        <w:tc>
          <w:tcPr>
            <w:tcW w:w="5238" w:type="dxa"/>
            <w:hideMark/>
          </w:tcPr>
          <w:p w14:paraId="4C6C54DD" w14:textId="57D18D3D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5. inventaris goederen</w:t>
            </w:r>
          </w:p>
        </w:tc>
        <w:tc>
          <w:tcPr>
            <w:tcW w:w="1717" w:type="dxa"/>
            <w:vMerge/>
            <w:hideMark/>
          </w:tcPr>
          <w:p w14:paraId="73008EB4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vMerge/>
            <w:hideMark/>
          </w:tcPr>
          <w:p w14:paraId="776F8939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</w:p>
        </w:tc>
      </w:tr>
      <w:tr w:rsidR="00945CA0" w:rsidRPr="00B11E51" w14:paraId="15070C5C" w14:textId="77777777" w:rsidTr="00333A71">
        <w:trPr>
          <w:trHeight w:val="283"/>
        </w:trPr>
        <w:tc>
          <w:tcPr>
            <w:tcW w:w="5238" w:type="dxa"/>
            <w:hideMark/>
          </w:tcPr>
          <w:p w14:paraId="767C1A53" w14:textId="5D6F3B35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6. reconstructiekosten</w:t>
            </w:r>
          </w:p>
        </w:tc>
        <w:tc>
          <w:tcPr>
            <w:tcW w:w="1717" w:type="dxa"/>
            <w:vMerge/>
            <w:hideMark/>
          </w:tcPr>
          <w:p w14:paraId="120ADBFD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vMerge/>
            <w:hideMark/>
          </w:tcPr>
          <w:p w14:paraId="45A639DF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</w:p>
        </w:tc>
      </w:tr>
      <w:tr w:rsidR="00945CA0" w:rsidRPr="00B11E51" w14:paraId="16FCCBD2" w14:textId="77777777" w:rsidTr="00333A71">
        <w:trPr>
          <w:trHeight w:val="283"/>
        </w:trPr>
        <w:tc>
          <w:tcPr>
            <w:tcW w:w="5238" w:type="dxa"/>
            <w:hideMark/>
          </w:tcPr>
          <w:p w14:paraId="4A71F1EC" w14:textId="6C5A4B7C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7. bedrijfsschade</w:t>
            </w:r>
          </w:p>
        </w:tc>
        <w:tc>
          <w:tcPr>
            <w:tcW w:w="1717" w:type="dxa"/>
            <w:vMerge/>
            <w:hideMark/>
          </w:tcPr>
          <w:p w14:paraId="105AD609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vMerge/>
            <w:hideMark/>
          </w:tcPr>
          <w:p w14:paraId="07D1CEF2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</w:p>
        </w:tc>
      </w:tr>
      <w:tr w:rsidR="00945CA0" w:rsidRPr="00B11E51" w14:paraId="4EA98E97" w14:textId="77777777" w:rsidTr="00333A71">
        <w:trPr>
          <w:trHeight w:val="283"/>
        </w:trPr>
        <w:tc>
          <w:tcPr>
            <w:tcW w:w="5238" w:type="dxa"/>
            <w:hideMark/>
          </w:tcPr>
          <w:p w14:paraId="7B23E9B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8. milieuschade</w:t>
            </w:r>
          </w:p>
        </w:tc>
        <w:tc>
          <w:tcPr>
            <w:tcW w:w="1717" w:type="dxa"/>
            <w:hideMark/>
          </w:tcPr>
          <w:p w14:paraId="2BC9F4B0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niet beschikbaar</w:t>
            </w:r>
          </w:p>
        </w:tc>
        <w:tc>
          <w:tcPr>
            <w:tcW w:w="2254" w:type="dxa"/>
            <w:noWrap/>
            <w:hideMark/>
          </w:tcPr>
          <w:p w14:paraId="7DBCCA4B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  <w:r w:rsidRPr="00B11E51">
              <w:t>-</w:t>
            </w:r>
          </w:p>
        </w:tc>
      </w:tr>
      <w:tr w:rsidR="00945CA0" w:rsidRPr="00B11E51" w14:paraId="1DAA5383" w14:textId="77777777" w:rsidTr="00333A71">
        <w:trPr>
          <w:trHeight w:val="283"/>
        </w:trPr>
        <w:tc>
          <w:tcPr>
            <w:tcW w:w="9209" w:type="dxa"/>
            <w:gridSpan w:val="3"/>
            <w:hideMark/>
          </w:tcPr>
          <w:p w14:paraId="59D00DB2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B11E51">
              <w:rPr>
                <w:b/>
                <w:bCs/>
                <w:i/>
                <w:iCs/>
              </w:rPr>
              <w:t>--- verzekeringen in verband met transport en aanverwante risico’s voor:</w:t>
            </w:r>
          </w:p>
        </w:tc>
      </w:tr>
      <w:tr w:rsidR="00945CA0" w:rsidRPr="00B11E51" w14:paraId="0A3FAD8A" w14:textId="77777777" w:rsidTr="00333A71">
        <w:trPr>
          <w:trHeight w:val="283"/>
        </w:trPr>
        <w:tc>
          <w:tcPr>
            <w:tcW w:w="5238" w:type="dxa"/>
            <w:hideMark/>
          </w:tcPr>
          <w:p w14:paraId="2A528702" w14:textId="5758E857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9. binnenvaartschepen</w:t>
            </w:r>
          </w:p>
        </w:tc>
        <w:tc>
          <w:tcPr>
            <w:tcW w:w="1717" w:type="dxa"/>
            <w:hideMark/>
          </w:tcPr>
          <w:p w14:paraId="3B1216F7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casco</w:t>
            </w:r>
          </w:p>
        </w:tc>
        <w:tc>
          <w:tcPr>
            <w:tcW w:w="2254" w:type="dxa"/>
            <w:noWrap/>
            <w:hideMark/>
          </w:tcPr>
          <w:p w14:paraId="4007E742" w14:textId="1B059F2A" w:rsidR="00945CA0" w:rsidRPr="00B11E51" w:rsidRDefault="004B1D6A" w:rsidP="00FB1A4F">
            <w:pPr>
              <w:pStyle w:val="vvvstandaard"/>
              <w:spacing w:line="240" w:lineRule="auto"/>
              <w:jc w:val="right"/>
            </w:pPr>
            <w:r>
              <w:t>6</w:t>
            </w:r>
            <w:r w:rsidR="00F50A8E">
              <w:t>7</w:t>
            </w:r>
          </w:p>
        </w:tc>
      </w:tr>
      <w:tr w:rsidR="00945CA0" w:rsidRPr="00B11E51" w14:paraId="576E3893" w14:textId="77777777" w:rsidTr="00333A71">
        <w:trPr>
          <w:trHeight w:val="283"/>
        </w:trPr>
        <w:tc>
          <w:tcPr>
            <w:tcW w:w="5238" w:type="dxa"/>
            <w:hideMark/>
          </w:tcPr>
          <w:p w14:paraId="47F14373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10. pleziervaartuigen</w:t>
            </w:r>
          </w:p>
        </w:tc>
        <w:tc>
          <w:tcPr>
            <w:tcW w:w="1717" w:type="dxa"/>
            <w:hideMark/>
          </w:tcPr>
          <w:p w14:paraId="0DB5751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05598C76" w14:textId="40D5AE1E" w:rsidR="00945CA0" w:rsidRPr="00B11E51" w:rsidRDefault="00F50A8E" w:rsidP="00FB1A4F">
            <w:pPr>
              <w:pStyle w:val="vvvstandaard"/>
              <w:spacing w:line="240" w:lineRule="auto"/>
              <w:jc w:val="right"/>
            </w:pPr>
            <w:r>
              <w:t>72</w:t>
            </w:r>
          </w:p>
        </w:tc>
      </w:tr>
      <w:tr w:rsidR="00945CA0" w:rsidRPr="00B11E51" w14:paraId="1509D535" w14:textId="77777777" w:rsidTr="00333A71">
        <w:trPr>
          <w:trHeight w:val="283"/>
        </w:trPr>
        <w:tc>
          <w:tcPr>
            <w:tcW w:w="5238" w:type="dxa"/>
            <w:hideMark/>
          </w:tcPr>
          <w:p w14:paraId="3A7D3199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11. woonboten</w:t>
            </w:r>
          </w:p>
        </w:tc>
        <w:tc>
          <w:tcPr>
            <w:tcW w:w="1717" w:type="dxa"/>
            <w:hideMark/>
          </w:tcPr>
          <w:p w14:paraId="6FE49E62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niet beschikbaar</w:t>
            </w:r>
          </w:p>
        </w:tc>
        <w:tc>
          <w:tcPr>
            <w:tcW w:w="2254" w:type="dxa"/>
            <w:noWrap/>
            <w:hideMark/>
          </w:tcPr>
          <w:p w14:paraId="309D13B5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  <w:r w:rsidRPr="00B11E51">
              <w:t>-</w:t>
            </w:r>
          </w:p>
        </w:tc>
      </w:tr>
      <w:tr w:rsidR="00945CA0" w:rsidRPr="00B11E51" w14:paraId="7641F2B4" w14:textId="77777777" w:rsidTr="00333A71">
        <w:trPr>
          <w:trHeight w:val="283"/>
        </w:trPr>
        <w:tc>
          <w:tcPr>
            <w:tcW w:w="5238" w:type="dxa"/>
            <w:hideMark/>
          </w:tcPr>
          <w:p w14:paraId="35450C8D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12. werkmaterieel</w:t>
            </w:r>
          </w:p>
        </w:tc>
        <w:tc>
          <w:tcPr>
            <w:tcW w:w="1717" w:type="dxa"/>
            <w:hideMark/>
          </w:tcPr>
          <w:p w14:paraId="34FF3CD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3ECDBFC0" w14:textId="5367449D" w:rsidR="00945CA0" w:rsidRPr="00B11E51" w:rsidRDefault="00945CA0" w:rsidP="00FB1A4F">
            <w:pPr>
              <w:pStyle w:val="vvvstandaard"/>
              <w:spacing w:line="240" w:lineRule="auto"/>
              <w:jc w:val="right"/>
            </w:pPr>
            <w:r w:rsidRPr="00B11E51">
              <w:t>1</w:t>
            </w:r>
            <w:r w:rsidR="00F50A8E">
              <w:t>45</w:t>
            </w:r>
          </w:p>
        </w:tc>
      </w:tr>
      <w:tr w:rsidR="00945CA0" w:rsidRPr="00B11E51" w14:paraId="60FDA6AD" w14:textId="77777777" w:rsidTr="00333A71">
        <w:trPr>
          <w:trHeight w:val="283"/>
        </w:trPr>
        <w:tc>
          <w:tcPr>
            <w:tcW w:w="5238" w:type="dxa"/>
            <w:hideMark/>
          </w:tcPr>
          <w:p w14:paraId="5B08C7F1" w14:textId="1D0B120B" w:rsidR="00945CA0" w:rsidRPr="00B11E51" w:rsidRDefault="00C13B30" w:rsidP="00945CA0">
            <w:pPr>
              <w:pStyle w:val="vvvstandaard"/>
              <w:spacing w:line="240" w:lineRule="auto"/>
              <w:jc w:val="left"/>
            </w:pPr>
            <w:r>
              <w:t>13. transport van goederen</w:t>
            </w:r>
          </w:p>
        </w:tc>
        <w:tc>
          <w:tcPr>
            <w:tcW w:w="1717" w:type="dxa"/>
            <w:hideMark/>
          </w:tcPr>
          <w:p w14:paraId="7AEB5FC2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32C5954E" w14:textId="46033917" w:rsidR="00945CA0" w:rsidRPr="00B11E51" w:rsidRDefault="004B1D6A" w:rsidP="00FB1A4F">
            <w:pPr>
              <w:pStyle w:val="vvvstandaard"/>
              <w:spacing w:line="240" w:lineRule="auto"/>
              <w:jc w:val="right"/>
            </w:pPr>
            <w:r>
              <w:t>1</w:t>
            </w:r>
            <w:r w:rsidR="00F50A8E">
              <w:t>73</w:t>
            </w:r>
          </w:p>
        </w:tc>
      </w:tr>
      <w:tr w:rsidR="00945CA0" w:rsidRPr="00B11E51" w14:paraId="05BC8F2C" w14:textId="77777777" w:rsidTr="00333A71">
        <w:trPr>
          <w:trHeight w:val="283"/>
        </w:trPr>
        <w:tc>
          <w:tcPr>
            <w:tcW w:w="5238" w:type="dxa"/>
            <w:hideMark/>
          </w:tcPr>
          <w:p w14:paraId="7DF036C7" w14:textId="7A77B441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14.</w:t>
            </w:r>
            <w:r w:rsidR="00C13B30">
              <w:t xml:space="preserve"> vervoerdersaansprakelijkheid</w:t>
            </w:r>
          </w:p>
        </w:tc>
        <w:tc>
          <w:tcPr>
            <w:tcW w:w="1717" w:type="dxa"/>
          </w:tcPr>
          <w:p w14:paraId="03725AC5" w14:textId="331D5BB0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noWrap/>
            <w:hideMark/>
          </w:tcPr>
          <w:p w14:paraId="5510EF63" w14:textId="6FA1F412" w:rsidR="00945CA0" w:rsidRPr="00B11E51" w:rsidRDefault="00F50A8E" w:rsidP="00945CA0">
            <w:pPr>
              <w:pStyle w:val="vvvstandaard"/>
              <w:spacing w:line="240" w:lineRule="auto"/>
              <w:jc w:val="right"/>
            </w:pPr>
            <w:r>
              <w:t>51</w:t>
            </w:r>
          </w:p>
        </w:tc>
      </w:tr>
      <w:tr w:rsidR="00945CA0" w:rsidRPr="00B11E51" w14:paraId="7E46CAC2" w14:textId="77777777" w:rsidTr="00333A71">
        <w:trPr>
          <w:trHeight w:val="283"/>
        </w:trPr>
        <w:tc>
          <w:tcPr>
            <w:tcW w:w="5238" w:type="dxa"/>
            <w:hideMark/>
          </w:tcPr>
          <w:p w14:paraId="2DCD352C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15. transport/montage</w:t>
            </w:r>
          </w:p>
        </w:tc>
        <w:tc>
          <w:tcPr>
            <w:tcW w:w="1717" w:type="dxa"/>
            <w:hideMark/>
          </w:tcPr>
          <w:p w14:paraId="347D9694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niet beschikbaar</w:t>
            </w:r>
          </w:p>
        </w:tc>
        <w:tc>
          <w:tcPr>
            <w:tcW w:w="2254" w:type="dxa"/>
            <w:noWrap/>
            <w:hideMark/>
          </w:tcPr>
          <w:p w14:paraId="51066B14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  <w:r w:rsidRPr="00B11E51">
              <w:t>-</w:t>
            </w:r>
          </w:p>
        </w:tc>
      </w:tr>
      <w:tr w:rsidR="00945CA0" w:rsidRPr="00B11E51" w14:paraId="56E907EC" w14:textId="77777777" w:rsidTr="00333A71">
        <w:trPr>
          <w:trHeight w:val="283"/>
        </w:trPr>
        <w:tc>
          <w:tcPr>
            <w:tcW w:w="9209" w:type="dxa"/>
            <w:gridSpan w:val="3"/>
            <w:hideMark/>
          </w:tcPr>
          <w:p w14:paraId="7CDD754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B11E51">
              <w:rPr>
                <w:b/>
                <w:bCs/>
                <w:i/>
                <w:iCs/>
              </w:rPr>
              <w:t>--- variaverzekeringen in verband met:</w:t>
            </w:r>
          </w:p>
        </w:tc>
      </w:tr>
      <w:tr w:rsidR="00945CA0" w:rsidRPr="00B11E51" w14:paraId="617400EA" w14:textId="77777777" w:rsidTr="00333A71">
        <w:trPr>
          <w:trHeight w:val="283"/>
        </w:trPr>
        <w:tc>
          <w:tcPr>
            <w:tcW w:w="5238" w:type="dxa"/>
            <w:hideMark/>
          </w:tcPr>
          <w:p w14:paraId="44E1CE90" w14:textId="2E7D10BA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16. motorrijtuigen (zowel WA als casco)</w:t>
            </w:r>
          </w:p>
        </w:tc>
        <w:tc>
          <w:tcPr>
            <w:tcW w:w="1717" w:type="dxa"/>
            <w:hideMark/>
          </w:tcPr>
          <w:p w14:paraId="25BE3E62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0E6C07CD" w14:textId="70AC6499" w:rsidR="00945CA0" w:rsidRPr="00B11E51" w:rsidRDefault="00FB1A4F" w:rsidP="00F50A8E">
            <w:pPr>
              <w:pStyle w:val="vvvstandaard"/>
              <w:spacing w:line="240" w:lineRule="auto"/>
              <w:jc w:val="right"/>
            </w:pPr>
            <w:r>
              <w:t>4.</w:t>
            </w:r>
            <w:r w:rsidR="00F50A8E">
              <w:t>711</w:t>
            </w:r>
          </w:p>
        </w:tc>
      </w:tr>
      <w:tr w:rsidR="00945CA0" w:rsidRPr="00B11E51" w14:paraId="69CC9429" w14:textId="77777777" w:rsidTr="00333A71">
        <w:trPr>
          <w:trHeight w:val="283"/>
        </w:trPr>
        <w:tc>
          <w:tcPr>
            <w:tcW w:w="5238" w:type="dxa"/>
            <w:hideMark/>
          </w:tcPr>
          <w:p w14:paraId="3A53E8C0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17. caravan</w:t>
            </w:r>
          </w:p>
        </w:tc>
        <w:tc>
          <w:tcPr>
            <w:tcW w:w="1717" w:type="dxa"/>
            <w:hideMark/>
          </w:tcPr>
          <w:p w14:paraId="4014DC20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7B4D9150" w14:textId="4BE021D7" w:rsidR="00945CA0" w:rsidRPr="00B11E51" w:rsidRDefault="00F50A8E" w:rsidP="00945CA0">
            <w:pPr>
              <w:pStyle w:val="vvvstandaard"/>
              <w:spacing w:line="240" w:lineRule="auto"/>
              <w:jc w:val="right"/>
            </w:pPr>
            <w:r>
              <w:t>64</w:t>
            </w:r>
          </w:p>
        </w:tc>
      </w:tr>
      <w:tr w:rsidR="00945CA0" w:rsidRPr="00B11E51" w14:paraId="00147E5D" w14:textId="77777777" w:rsidTr="00333A71">
        <w:trPr>
          <w:trHeight w:val="283"/>
        </w:trPr>
        <w:tc>
          <w:tcPr>
            <w:tcW w:w="5238" w:type="dxa"/>
            <w:hideMark/>
          </w:tcPr>
          <w:p w14:paraId="685CCA8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18. aansprakelijkheid particulieren (AVP)</w:t>
            </w:r>
          </w:p>
        </w:tc>
        <w:tc>
          <w:tcPr>
            <w:tcW w:w="1717" w:type="dxa"/>
            <w:hideMark/>
          </w:tcPr>
          <w:p w14:paraId="4AD26A85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054D431E" w14:textId="61BA7EAD" w:rsidR="00945CA0" w:rsidRPr="00B11E51" w:rsidRDefault="00F50A8E" w:rsidP="00FB1A4F">
            <w:pPr>
              <w:pStyle w:val="vvvstandaard"/>
              <w:spacing w:line="240" w:lineRule="auto"/>
              <w:jc w:val="right"/>
            </w:pPr>
            <w:r>
              <w:t>295</w:t>
            </w:r>
          </w:p>
        </w:tc>
      </w:tr>
      <w:tr w:rsidR="00945CA0" w:rsidRPr="00B11E51" w14:paraId="040D934C" w14:textId="77777777" w:rsidTr="00333A71">
        <w:trPr>
          <w:trHeight w:val="283"/>
        </w:trPr>
        <w:tc>
          <w:tcPr>
            <w:tcW w:w="5238" w:type="dxa"/>
            <w:hideMark/>
          </w:tcPr>
          <w:p w14:paraId="2D406C8F" w14:textId="450404FF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19. aans</w:t>
            </w:r>
            <w:r w:rsidR="008B22DB">
              <w:t>prakelijkheid bedrijven (AVB)</w:t>
            </w:r>
          </w:p>
        </w:tc>
        <w:tc>
          <w:tcPr>
            <w:tcW w:w="1717" w:type="dxa"/>
            <w:hideMark/>
          </w:tcPr>
          <w:p w14:paraId="1B917B53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3734EA4E" w14:textId="48742850" w:rsidR="00945CA0" w:rsidRPr="00B11E51" w:rsidRDefault="00F50A8E" w:rsidP="00FB1A4F">
            <w:pPr>
              <w:pStyle w:val="vvvstandaard"/>
              <w:spacing w:line="240" w:lineRule="auto"/>
              <w:jc w:val="right"/>
            </w:pPr>
            <w:r>
              <w:t>846</w:t>
            </w:r>
          </w:p>
        </w:tc>
      </w:tr>
      <w:tr w:rsidR="00945CA0" w:rsidRPr="00B11E51" w14:paraId="2C99C67E" w14:textId="77777777" w:rsidTr="00333A71">
        <w:trPr>
          <w:trHeight w:val="283"/>
        </w:trPr>
        <w:tc>
          <w:tcPr>
            <w:tcW w:w="5238" w:type="dxa"/>
            <w:hideMark/>
          </w:tcPr>
          <w:p w14:paraId="17D87FBC" w14:textId="54CFDF83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20. aansprakelijkheid juridische, fiscale, financiële en economis</w:t>
            </w:r>
            <w:r w:rsidR="008B22DB">
              <w:t>che adviesberoepen (JFFE-BAV)</w:t>
            </w:r>
          </w:p>
        </w:tc>
        <w:tc>
          <w:tcPr>
            <w:tcW w:w="1717" w:type="dxa"/>
            <w:vMerge w:val="restart"/>
            <w:hideMark/>
          </w:tcPr>
          <w:p w14:paraId="67A920D1" w14:textId="7E6F9C08" w:rsidR="00945CA0" w:rsidRPr="00B11E51" w:rsidRDefault="002D4693" w:rsidP="00945CA0">
            <w:pPr>
              <w:pStyle w:val="vvvstandaard"/>
              <w:spacing w:line="240" w:lineRule="auto"/>
              <w:jc w:val="left"/>
            </w:pPr>
            <w:r w:rsidRPr="00B11E51">
              <w:t>niet als aparte categorieën beschikbaar</w:t>
            </w:r>
          </w:p>
        </w:tc>
        <w:tc>
          <w:tcPr>
            <w:tcW w:w="2254" w:type="dxa"/>
            <w:vMerge w:val="restart"/>
            <w:noWrap/>
            <w:hideMark/>
          </w:tcPr>
          <w:p w14:paraId="5E5CE3BE" w14:textId="395C69C4" w:rsidR="00945CA0" w:rsidRPr="00B11E51" w:rsidRDefault="004B1D6A" w:rsidP="00FB1A4F">
            <w:pPr>
              <w:pStyle w:val="vvvstandaard"/>
              <w:spacing w:line="240" w:lineRule="auto"/>
              <w:jc w:val="right"/>
            </w:pPr>
            <w:r>
              <w:t>1</w:t>
            </w:r>
            <w:r w:rsidR="00F50A8E">
              <w:t>23</w:t>
            </w:r>
          </w:p>
        </w:tc>
      </w:tr>
      <w:tr w:rsidR="00945CA0" w:rsidRPr="00B11E51" w14:paraId="21F42B99" w14:textId="77777777" w:rsidTr="00333A71">
        <w:trPr>
          <w:trHeight w:val="283"/>
        </w:trPr>
        <w:tc>
          <w:tcPr>
            <w:tcW w:w="5238" w:type="dxa"/>
            <w:hideMark/>
          </w:tcPr>
          <w:p w14:paraId="22609AC7" w14:textId="323E63FB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21. aansprakeli</w:t>
            </w:r>
            <w:r w:rsidR="008B22DB">
              <w:t>jkheid overige beroepen (BAV)</w:t>
            </w:r>
          </w:p>
        </w:tc>
        <w:tc>
          <w:tcPr>
            <w:tcW w:w="1717" w:type="dxa"/>
            <w:vMerge/>
            <w:hideMark/>
          </w:tcPr>
          <w:p w14:paraId="6F1E9750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vMerge/>
            <w:hideMark/>
          </w:tcPr>
          <w:p w14:paraId="039FBBCC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</w:p>
        </w:tc>
      </w:tr>
      <w:tr w:rsidR="00945CA0" w:rsidRPr="00B11E51" w14:paraId="6C36A2E0" w14:textId="77777777" w:rsidTr="00333A71">
        <w:trPr>
          <w:trHeight w:val="283"/>
        </w:trPr>
        <w:tc>
          <w:tcPr>
            <w:tcW w:w="5238" w:type="dxa"/>
            <w:hideMark/>
          </w:tcPr>
          <w:p w14:paraId="2F393FAF" w14:textId="3963C3DB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22. aansprakelijkheid bestuu</w:t>
            </w:r>
            <w:r w:rsidR="008B22DB">
              <w:t>rders en commissarissen (D&amp;O)</w:t>
            </w:r>
          </w:p>
        </w:tc>
        <w:tc>
          <w:tcPr>
            <w:tcW w:w="1717" w:type="dxa"/>
            <w:vMerge/>
            <w:hideMark/>
          </w:tcPr>
          <w:p w14:paraId="424CF1C5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</w:p>
        </w:tc>
        <w:tc>
          <w:tcPr>
            <w:tcW w:w="2254" w:type="dxa"/>
            <w:vMerge/>
            <w:hideMark/>
          </w:tcPr>
          <w:p w14:paraId="1CE3DA33" w14:textId="77777777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</w:p>
        </w:tc>
      </w:tr>
      <w:tr w:rsidR="00945CA0" w:rsidRPr="00B11E51" w14:paraId="382582CE" w14:textId="77777777" w:rsidTr="00333A71">
        <w:trPr>
          <w:trHeight w:val="283"/>
        </w:trPr>
        <w:tc>
          <w:tcPr>
            <w:tcW w:w="5238" w:type="dxa"/>
            <w:hideMark/>
          </w:tcPr>
          <w:p w14:paraId="07136F1A" w14:textId="14359640" w:rsidR="00945CA0" w:rsidRPr="00B11E51" w:rsidRDefault="00945CA0" w:rsidP="001331E2">
            <w:pPr>
              <w:pStyle w:val="vvvstandaard"/>
              <w:spacing w:line="240" w:lineRule="auto"/>
              <w:jc w:val="left"/>
            </w:pPr>
            <w:r w:rsidRPr="00B11E51">
              <w:t>23. reis</w:t>
            </w:r>
            <w:r w:rsidR="008B22DB">
              <w:t xml:space="preserve"> </w:t>
            </w:r>
            <w:r w:rsidR="001331E2">
              <w:t>en/of annulering</w:t>
            </w:r>
          </w:p>
        </w:tc>
        <w:tc>
          <w:tcPr>
            <w:tcW w:w="1717" w:type="dxa"/>
            <w:hideMark/>
          </w:tcPr>
          <w:p w14:paraId="0F99F883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20DF78AF" w14:textId="10CED950" w:rsidR="00945CA0" w:rsidRPr="00B11E51" w:rsidRDefault="00F50A8E" w:rsidP="00FB1A4F">
            <w:pPr>
              <w:pStyle w:val="vvvstandaard"/>
              <w:spacing w:line="240" w:lineRule="auto"/>
              <w:jc w:val="right"/>
            </w:pPr>
            <w:r>
              <w:t>601</w:t>
            </w:r>
          </w:p>
        </w:tc>
      </w:tr>
      <w:tr w:rsidR="00945CA0" w:rsidRPr="00B11E51" w14:paraId="28C4EC3E" w14:textId="77777777" w:rsidTr="00333A71">
        <w:trPr>
          <w:trHeight w:val="283"/>
        </w:trPr>
        <w:tc>
          <w:tcPr>
            <w:tcW w:w="5238" w:type="dxa"/>
            <w:hideMark/>
          </w:tcPr>
          <w:p w14:paraId="1217D947" w14:textId="331E6B85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24. machinebreuk en/of machinebreuk be</w:t>
            </w:r>
            <w:r w:rsidR="008B22DB">
              <w:t>drijfsschade (incl. computer)</w:t>
            </w:r>
          </w:p>
        </w:tc>
        <w:tc>
          <w:tcPr>
            <w:tcW w:w="1717" w:type="dxa"/>
          </w:tcPr>
          <w:p w14:paraId="37F7345D" w14:textId="44D7872A" w:rsidR="00945CA0" w:rsidRPr="00B11E51" w:rsidRDefault="00F50A8E" w:rsidP="00945CA0">
            <w:pPr>
              <w:pStyle w:val="vvvstandaard"/>
              <w:spacing w:line="240" w:lineRule="auto"/>
              <w:jc w:val="left"/>
            </w:pPr>
            <w:r>
              <w:t>niet beschikbaar</w:t>
            </w:r>
          </w:p>
        </w:tc>
        <w:tc>
          <w:tcPr>
            <w:tcW w:w="2254" w:type="dxa"/>
            <w:noWrap/>
            <w:hideMark/>
          </w:tcPr>
          <w:p w14:paraId="21A096C6" w14:textId="23A34E44" w:rsidR="00945CA0" w:rsidRPr="00B11E51" w:rsidRDefault="00F50A8E" w:rsidP="00945CA0">
            <w:pPr>
              <w:pStyle w:val="vvvstandaard"/>
              <w:spacing w:line="240" w:lineRule="auto"/>
              <w:jc w:val="right"/>
            </w:pPr>
            <w:r>
              <w:t>-</w:t>
            </w:r>
          </w:p>
        </w:tc>
      </w:tr>
      <w:tr w:rsidR="00945CA0" w:rsidRPr="00B11E51" w14:paraId="5F887BAA" w14:textId="77777777" w:rsidTr="00333A71">
        <w:trPr>
          <w:trHeight w:val="283"/>
        </w:trPr>
        <w:tc>
          <w:tcPr>
            <w:tcW w:w="5238" w:type="dxa"/>
            <w:hideMark/>
          </w:tcPr>
          <w:p w14:paraId="25A7D6D9" w14:textId="413333B4" w:rsidR="00945CA0" w:rsidRPr="00B11E51" w:rsidRDefault="008B22DB" w:rsidP="00945CA0">
            <w:pPr>
              <w:pStyle w:val="vvvstandaard"/>
              <w:spacing w:line="240" w:lineRule="auto"/>
              <w:jc w:val="left"/>
            </w:pPr>
            <w:r>
              <w:t>25. CAR</w:t>
            </w:r>
          </w:p>
        </w:tc>
        <w:tc>
          <w:tcPr>
            <w:tcW w:w="1717" w:type="dxa"/>
            <w:hideMark/>
          </w:tcPr>
          <w:p w14:paraId="32EA11E2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58BCD6C7" w14:textId="28A4B0D9" w:rsidR="00945CA0" w:rsidRPr="00B11E51" w:rsidRDefault="00945CA0" w:rsidP="00F50A8E">
            <w:pPr>
              <w:pStyle w:val="vvvstandaard"/>
              <w:spacing w:line="240" w:lineRule="auto"/>
              <w:jc w:val="right"/>
            </w:pPr>
            <w:r>
              <w:t>1</w:t>
            </w:r>
            <w:r w:rsidR="007D62F2">
              <w:t>7</w:t>
            </w:r>
            <w:r w:rsidR="00F50A8E">
              <w:t>3</w:t>
            </w:r>
          </w:p>
        </w:tc>
      </w:tr>
      <w:tr w:rsidR="00945CA0" w:rsidRPr="00B11E51" w14:paraId="15AB7ECE" w14:textId="77777777" w:rsidTr="00333A71">
        <w:trPr>
          <w:trHeight w:val="283"/>
        </w:trPr>
        <w:tc>
          <w:tcPr>
            <w:tcW w:w="5238" w:type="dxa"/>
            <w:hideMark/>
          </w:tcPr>
          <w:p w14:paraId="11FD0DC4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26. arbeidsongeschiktheid</w:t>
            </w:r>
          </w:p>
        </w:tc>
        <w:tc>
          <w:tcPr>
            <w:tcW w:w="1717" w:type="dxa"/>
            <w:hideMark/>
          </w:tcPr>
          <w:p w14:paraId="3405C5FC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5C892DB6" w14:textId="25A9CAE3" w:rsidR="00945CA0" w:rsidRPr="00B11E51" w:rsidRDefault="00945CA0" w:rsidP="00945CA0">
            <w:pPr>
              <w:pStyle w:val="vvvstandaard"/>
              <w:spacing w:line="240" w:lineRule="auto"/>
              <w:jc w:val="right"/>
            </w:pPr>
            <w:r w:rsidRPr="00B11E51">
              <w:t>1.</w:t>
            </w:r>
            <w:r w:rsidR="00F50A8E">
              <w:t>383</w:t>
            </w:r>
          </w:p>
        </w:tc>
      </w:tr>
      <w:tr w:rsidR="00945CA0" w:rsidRPr="00B11E51" w14:paraId="6521205E" w14:textId="77777777" w:rsidTr="00333A71">
        <w:trPr>
          <w:trHeight w:val="283"/>
        </w:trPr>
        <w:tc>
          <w:tcPr>
            <w:tcW w:w="5238" w:type="dxa"/>
            <w:hideMark/>
          </w:tcPr>
          <w:p w14:paraId="6F2C569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27. ongevallen</w:t>
            </w:r>
          </w:p>
        </w:tc>
        <w:tc>
          <w:tcPr>
            <w:tcW w:w="1717" w:type="dxa"/>
            <w:hideMark/>
          </w:tcPr>
          <w:p w14:paraId="1302A9B6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68357046" w14:textId="2A73B300" w:rsidR="00945CA0" w:rsidRPr="00B11E51" w:rsidRDefault="004B1D6A" w:rsidP="007D62F2">
            <w:pPr>
              <w:pStyle w:val="vvvstandaard"/>
              <w:spacing w:line="240" w:lineRule="auto"/>
              <w:jc w:val="right"/>
            </w:pPr>
            <w:r>
              <w:t>2</w:t>
            </w:r>
            <w:r w:rsidR="00F50A8E">
              <w:t>75</w:t>
            </w:r>
          </w:p>
        </w:tc>
      </w:tr>
      <w:tr w:rsidR="00945CA0" w:rsidRPr="00B11E51" w14:paraId="29D1D5A5" w14:textId="77777777" w:rsidTr="00333A71">
        <w:trPr>
          <w:trHeight w:val="283"/>
        </w:trPr>
        <w:tc>
          <w:tcPr>
            <w:tcW w:w="5238" w:type="dxa"/>
            <w:hideMark/>
          </w:tcPr>
          <w:p w14:paraId="42E3A86A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28. ziekteverzuim</w:t>
            </w:r>
          </w:p>
        </w:tc>
        <w:tc>
          <w:tcPr>
            <w:tcW w:w="1717" w:type="dxa"/>
            <w:hideMark/>
          </w:tcPr>
          <w:p w14:paraId="32C0C46C" w14:textId="77777777" w:rsidR="00945CA0" w:rsidRPr="00B11E51" w:rsidRDefault="00945CA0" w:rsidP="00945CA0">
            <w:pPr>
              <w:pStyle w:val="vvvstandaard"/>
              <w:spacing w:line="240" w:lineRule="auto"/>
              <w:jc w:val="left"/>
            </w:pPr>
            <w:r w:rsidRPr="00B11E51">
              <w:t> </w:t>
            </w:r>
          </w:p>
        </w:tc>
        <w:tc>
          <w:tcPr>
            <w:tcW w:w="2254" w:type="dxa"/>
            <w:noWrap/>
            <w:hideMark/>
          </w:tcPr>
          <w:p w14:paraId="283C3BE0" w14:textId="12F7DF06" w:rsidR="00945CA0" w:rsidRPr="00B11E51" w:rsidRDefault="00945CA0" w:rsidP="007D62F2">
            <w:pPr>
              <w:pStyle w:val="vvvstandaard"/>
              <w:spacing w:line="240" w:lineRule="auto"/>
              <w:jc w:val="right"/>
            </w:pPr>
            <w:r w:rsidRPr="00B11E51">
              <w:t>1.</w:t>
            </w:r>
            <w:r w:rsidR="00F50A8E">
              <w:t>263</w:t>
            </w:r>
          </w:p>
        </w:tc>
      </w:tr>
    </w:tbl>
    <w:p w14:paraId="71FDE98A" w14:textId="5640EFC3" w:rsidR="00343551" w:rsidRDefault="007B504B" w:rsidP="00065C55">
      <w:pPr>
        <w:pStyle w:val="vvvstandaard"/>
      </w:pPr>
      <w:r w:rsidRPr="007B504B">
        <w:t>* De marktomvang is weergegeven in bruto verdiende premie (€ mln.)</w:t>
      </w:r>
      <w:r w:rsidR="008B22DB">
        <w:t>.</w:t>
      </w:r>
      <w:r w:rsidR="00EB64C9">
        <w:t xml:space="preserve"> De omvang is </w:t>
      </w:r>
      <w:r w:rsidRPr="007B504B">
        <w:t xml:space="preserve">statistisch berekend op basis van </w:t>
      </w:r>
      <w:r w:rsidR="00EB64C9">
        <w:t xml:space="preserve">cijfers van verzekeraars </w:t>
      </w:r>
      <w:r w:rsidR="007D62F2">
        <w:t>die hebben deelgenomen aan de enquête</w:t>
      </w:r>
      <w:r w:rsidR="00C13B30">
        <w:t xml:space="preserve"> en cijfers </w:t>
      </w:r>
      <w:r w:rsidR="00EB64C9">
        <w:t>uit openbare staten van DNB,</w:t>
      </w:r>
      <w:r w:rsidR="007D62F2">
        <w:t xml:space="preserve"> </w:t>
      </w:r>
      <w:r w:rsidR="00EB64C9">
        <w:t xml:space="preserve">jaarverslagen van verzekeraars </w:t>
      </w:r>
      <w:r w:rsidR="008B22DB">
        <w:t xml:space="preserve">en </w:t>
      </w:r>
      <w:proofErr w:type="spellStart"/>
      <w:r w:rsidR="008B22DB">
        <w:t>Solvency</w:t>
      </w:r>
      <w:proofErr w:type="spellEnd"/>
      <w:r w:rsidR="008B22DB">
        <w:t xml:space="preserve"> Financial </w:t>
      </w:r>
      <w:proofErr w:type="spellStart"/>
      <w:r w:rsidR="008B22DB">
        <w:t>Condition</w:t>
      </w:r>
      <w:proofErr w:type="spellEnd"/>
      <w:r w:rsidR="008B22DB">
        <w:t xml:space="preserve"> </w:t>
      </w:r>
      <w:proofErr w:type="spellStart"/>
      <w:r w:rsidR="008B22DB">
        <w:t>Reports</w:t>
      </w:r>
      <w:proofErr w:type="spellEnd"/>
      <w:r w:rsidR="008B22DB">
        <w:t xml:space="preserve">. Hiermee is getracht de </w:t>
      </w:r>
      <w:r w:rsidR="00C13B30">
        <w:t xml:space="preserve">totale </w:t>
      </w:r>
      <w:r w:rsidR="008B22DB">
        <w:t xml:space="preserve">omvang van alle verzekeraars die actief zijn op de Nederlandse markt zo </w:t>
      </w:r>
      <w:r w:rsidR="001331E2">
        <w:t xml:space="preserve">volledig </w:t>
      </w:r>
      <w:r w:rsidR="008B22DB">
        <w:t>mogelijk te benaderen.</w:t>
      </w:r>
    </w:p>
    <w:p w14:paraId="34F541BA" w14:textId="77777777" w:rsidR="00B11E51" w:rsidRDefault="00B11E51" w:rsidP="00065C55">
      <w:pPr>
        <w:pStyle w:val="vvvstandaard"/>
      </w:pPr>
    </w:p>
    <w:p w14:paraId="3FE75A4E" w14:textId="36D14677" w:rsidR="006A6DEC" w:rsidRDefault="007B504B" w:rsidP="00065C55">
      <w:pPr>
        <w:pStyle w:val="vvvstandaard"/>
      </w:pPr>
      <w:r w:rsidRPr="007B504B">
        <w:t>bron: Centrum voor Verzekeringsstatistiek, Financieel jaarverslag verzekeringsbranche 201</w:t>
      </w:r>
      <w:r w:rsidR="007C7F1E">
        <w:t>8</w:t>
      </w:r>
    </w:p>
    <w:p w14:paraId="29804518" w14:textId="46A06A86" w:rsidR="007B504B" w:rsidRDefault="006A6DEC" w:rsidP="00065C55">
      <w:pPr>
        <w:pStyle w:val="vvvstandaard"/>
      </w:pPr>
      <w:r>
        <w:t>juni 201</w:t>
      </w:r>
      <w:r w:rsidR="007C7F1E">
        <w:t>9</w:t>
      </w:r>
      <w:bookmarkStart w:id="1" w:name="_GoBack"/>
      <w:bookmarkEnd w:id="1"/>
    </w:p>
    <w:p w14:paraId="54B5D4F0" w14:textId="77777777" w:rsidR="001331E2" w:rsidRDefault="001331E2" w:rsidP="00065C55">
      <w:pPr>
        <w:pStyle w:val="vvvstandaard"/>
      </w:pPr>
    </w:p>
    <w:p w14:paraId="5EB6ECB4" w14:textId="77777777" w:rsidR="001331E2" w:rsidRPr="00065C55" w:rsidRDefault="001331E2" w:rsidP="00065C55">
      <w:pPr>
        <w:pStyle w:val="vvvstandaard"/>
      </w:pPr>
    </w:p>
    <w:sectPr w:rsidR="001331E2" w:rsidRPr="00065C55" w:rsidSect="001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720"/>
    <w:multiLevelType w:val="hybridMultilevel"/>
    <w:tmpl w:val="77BCC274"/>
    <w:lvl w:ilvl="0" w:tplc="631E064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4B"/>
    <w:rsid w:val="00007FBB"/>
    <w:rsid w:val="00056C56"/>
    <w:rsid w:val="00065C55"/>
    <w:rsid w:val="0008738B"/>
    <w:rsid w:val="001266CF"/>
    <w:rsid w:val="00130D27"/>
    <w:rsid w:val="001331E2"/>
    <w:rsid w:val="001334D6"/>
    <w:rsid w:val="00173C6A"/>
    <w:rsid w:val="001A0070"/>
    <w:rsid w:val="001C799D"/>
    <w:rsid w:val="002D4693"/>
    <w:rsid w:val="002E5B57"/>
    <w:rsid w:val="00333A71"/>
    <w:rsid w:val="00343551"/>
    <w:rsid w:val="003A061A"/>
    <w:rsid w:val="004179DA"/>
    <w:rsid w:val="00465B60"/>
    <w:rsid w:val="004B1D6A"/>
    <w:rsid w:val="00507636"/>
    <w:rsid w:val="006A6DEC"/>
    <w:rsid w:val="007B504B"/>
    <w:rsid w:val="007C7F1E"/>
    <w:rsid w:val="007D62F2"/>
    <w:rsid w:val="00856E06"/>
    <w:rsid w:val="0088737C"/>
    <w:rsid w:val="008B22DB"/>
    <w:rsid w:val="008C64E3"/>
    <w:rsid w:val="00945CA0"/>
    <w:rsid w:val="00956E19"/>
    <w:rsid w:val="00B11E51"/>
    <w:rsid w:val="00B30985"/>
    <w:rsid w:val="00B73392"/>
    <w:rsid w:val="00BA0198"/>
    <w:rsid w:val="00C13B30"/>
    <w:rsid w:val="00C26FC1"/>
    <w:rsid w:val="00C43A9E"/>
    <w:rsid w:val="00C73D0B"/>
    <w:rsid w:val="00C97F6D"/>
    <w:rsid w:val="00CE51A2"/>
    <w:rsid w:val="00CF03C9"/>
    <w:rsid w:val="00D11CD6"/>
    <w:rsid w:val="00D77893"/>
    <w:rsid w:val="00E0679D"/>
    <w:rsid w:val="00E6213E"/>
    <w:rsid w:val="00E94D16"/>
    <w:rsid w:val="00EB64C9"/>
    <w:rsid w:val="00F11058"/>
    <w:rsid w:val="00F50A8E"/>
    <w:rsid w:val="00FB1A4F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876"/>
  <w15:chartTrackingRefBased/>
  <w15:docId w15:val="{EBF5C23F-3B10-4E7F-A008-2EFC395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semiHidden/>
    <w:qFormat/>
    <w:rsid w:val="0034355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3435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76A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3435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9FDA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vstandaard">
    <w:name w:val="vvv_standaard"/>
    <w:basedOn w:val="Standaard"/>
    <w:qFormat/>
    <w:rsid w:val="004179DA"/>
    <w:pPr>
      <w:spacing w:after="0"/>
      <w:jc w:val="both"/>
    </w:pPr>
    <w:rPr>
      <w:rFonts w:ascii="Arial" w:hAnsi="Arial"/>
      <w:sz w:val="20"/>
    </w:rPr>
  </w:style>
  <w:style w:type="paragraph" w:customStyle="1" w:styleId="vvvkop1">
    <w:name w:val="vvv_kop1"/>
    <w:basedOn w:val="Kop1"/>
    <w:next w:val="vvvstandaard"/>
    <w:uiPriority w:val="99"/>
    <w:qFormat/>
    <w:rsid w:val="004179DA"/>
    <w:pPr>
      <w:keepLines w:val="0"/>
      <w:spacing w:before="0"/>
    </w:pPr>
    <w:rPr>
      <w:rFonts w:ascii="Arial" w:hAnsi="Arial"/>
      <w:color w:val="auto"/>
      <w:kern w:val="32"/>
      <w:sz w:val="20"/>
      <w:szCs w:val="32"/>
      <w:lang w:eastAsia="nl-NL"/>
    </w:rPr>
  </w:style>
  <w:style w:type="paragraph" w:customStyle="1" w:styleId="vvvkop2">
    <w:name w:val="vvv_kop2"/>
    <w:basedOn w:val="Kop2"/>
    <w:next w:val="vvvstandaard"/>
    <w:uiPriority w:val="99"/>
    <w:qFormat/>
    <w:rsid w:val="004179DA"/>
    <w:pPr>
      <w:keepLines w:val="0"/>
      <w:spacing w:before="0"/>
    </w:pPr>
    <w:rPr>
      <w:rFonts w:ascii="Arial" w:hAnsi="Arial"/>
      <w:b w:val="0"/>
      <w:i/>
      <w:iCs/>
      <w:color w:val="auto"/>
      <w:sz w:val="20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343551"/>
    <w:rPr>
      <w:rFonts w:ascii="Cambria" w:eastAsia="Times New Roman" w:hAnsi="Cambria" w:cs="Times New Roman"/>
      <w:b/>
      <w:bCs/>
      <w:color w:val="0076A3"/>
      <w:sz w:val="28"/>
      <w:szCs w:val="28"/>
    </w:rPr>
  </w:style>
  <w:style w:type="table" w:styleId="Tabelraster">
    <w:name w:val="Table Grid"/>
    <w:basedOn w:val="Standaardtabel"/>
    <w:uiPriority w:val="59"/>
    <w:rsid w:val="000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semiHidden/>
    <w:rsid w:val="00343551"/>
    <w:rPr>
      <w:rFonts w:ascii="Cambria" w:eastAsia="Times New Roman" w:hAnsi="Cambria" w:cs="Times New Roman"/>
      <w:b/>
      <w:bCs/>
      <w:color w:val="009FD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bondDocumentId xmlns="58EFF437-0CC0-4AFA-8C18-6BCCBE486714" xsi:nil="true"/>
    <VerbondNadereInformatieTelnr xmlns="58EFF437-0CC0-4AFA-8C18-6BCCBE486714">0703338794</VerbondNadereInformatieTelnr>
    <VerbondDagtekening xmlns="58EFF437-0CC0-4AFA-8C18-6BCCBE486714">2015-06-18T22:00:00+00:00</VerbondDagtekening>
    <VerbondNadereInformatieEmail xmlns="58EFF437-0CC0-4AFA-8C18-6BCCBE486714">r.jongejan@verzekeraars.nl</VerbondNadereInformatieEmail>
    <VerbondClassificatie xmlns="58EFF437-0CC0-4AFA-8C18-6BCCBE486714" xsi:nil="true"/>
    <VerbondNadereInformatieFaxnr xmlns="58EFF437-0CC0-4AFA-8C18-6BCCBE486714" xsi:nil="true"/>
    <VerbondTrefwoordenVrij xmlns="58EFF437-0CC0-4AFA-8C18-6BCCBE486714" xsi:nil="true"/>
    <VerbondNadereInformatieNaam xmlns="58EFF437-0CC0-4AFA-8C18-6BCCBE486714">dhr. R.J.L. Jongejan</VerbondNadereInformatieNaam>
    <VerbondTrefwoordenThesaurusTaxHTField0 xmlns="58EFF437-0CC0-4AFA-8C18-6BCCBE4867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Verzekeringsstatistiek</TermName>
          <TermId xmlns="http://schemas.microsoft.com/office/infopath/2007/PartnerControls">e64c6975-125d-41e4-8e17-272be5c76f8e</TermId>
        </TermInfo>
        <TermInfo xmlns="http://schemas.microsoft.com/office/infopath/2007/PartnerControls">
          <TermName xmlns="http://schemas.microsoft.com/office/infopath/2007/PartnerControls">Markt</TermName>
          <TermId xmlns="http://schemas.microsoft.com/office/infopath/2007/PartnerControls">c002c55b-67c0-46f3-8559-f6068b61b527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0102c8a5-2001-401c-b6bd-6384963e689f</TermId>
        </TermInfo>
      </Terms>
    </VerbondTrefwoordenThesaurusTaxHTField0>
    <VerbondStatus xmlns="58EFF437-0CC0-4AFA-8C18-6BCCBE486714">Concept</VerbondStatus>
    <VerbondBijlageBij xmlns="58EFF437-0CC0-4AFA-8C18-6BCCBE486714" xsi:nil="true"/>
    <VerbondKopieVan xmlns="58EFF437-0CC0-4AFA-8C18-6BCCBE486714" xsi:nil="true"/>
    <VerbondBewerkercode xmlns="58EFF437-0CC0-4AFA-8C18-6BCCBE486714">RJONG</VerbondBewerkercode>
    <TaxCatchAll xmlns="ee7d5547-9741-40f0-96cb-8a22f0003526">
      <Value>42</Value>
      <Value>7</Value>
      <Value>1</Value>
    </TaxCatchAll>
    <VerbondNadereInformatiePicker xmlns="58EFF437-0CC0-4AFA-8C18-6BCCBE486714">PER1146621;FUN73339;ORG;VES</VerbondNadereInformatiePicker>
    <_dlc_DocId xmlns="ee7d5547-9741-40f0-96cb-8a22f0003526">2018-00024286</_dlc_DocId>
    <_dlc_DocIdUrl xmlns="ee7d5547-9741-40f0-96cb-8a22f0003526">
      <Url>https://samenwerken.verzekeraars.nl/samenwerken/1875349/_layouts/DocIdRedir.aspx?ID=2018-00024286</Url>
      <Description>2018-00024286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co" ma:contentTypeID="0x010100BA572F3C77674A4CBEFD5094E59FDAC6008259144D280C45ACBF43E0830841B2F8001F720479388B9243BE96F3FA446272EE" ma:contentTypeVersion="3" ma:contentTypeDescription="Inhoudstype voor blanco document" ma:contentTypeScope="" ma:versionID="488f0345c2016d5c5a4b3ed26abb849f">
  <xsd:schema xmlns:xsd="http://www.w3.org/2001/XMLSchema" xmlns:xs="http://www.w3.org/2001/XMLSchema" xmlns:p="http://schemas.microsoft.com/office/2006/metadata/properties" xmlns:ns2="ee7d5547-9741-40f0-96cb-8a22f0003526" xmlns:ns3="58EFF437-0CC0-4AFA-8C18-6BCCBE486714" targetNamespace="http://schemas.microsoft.com/office/2006/metadata/properties" ma:root="true" ma:fieldsID="04405586477a4a333c021301c3cd89b8" ns2:_="" ns3:_="">
    <xsd:import namespace="ee7d5547-9741-40f0-96cb-8a22f0003526"/>
    <xsd:import namespace="58EFF437-0CC0-4AFA-8C18-6BCCBE4867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VerbondTrefwoordenThesaurusTaxHTField0" minOccurs="0"/>
                <xsd:element ref="ns3:VerbondDocumentId" minOccurs="0"/>
                <xsd:element ref="ns3:VerbondBijlageBij" minOccurs="0"/>
                <xsd:element ref="ns3:VerbondBewerkercode" minOccurs="0"/>
                <xsd:element ref="ns3:VerbondDagtekening" minOccurs="0"/>
                <xsd:element ref="ns3:VerbondStatus" minOccurs="0"/>
                <xsd:element ref="ns3:VerbondClassificatie" minOccurs="0"/>
                <xsd:element ref="ns3:VerbondNadereInformatiePicker" minOccurs="0"/>
                <xsd:element ref="ns3:VerbondNadereInformatieNaam" minOccurs="0"/>
                <xsd:element ref="ns3:VerbondNadereInformatieTelnr" minOccurs="0"/>
                <xsd:element ref="ns3:VerbondNadereInformatieFaxnr" minOccurs="0"/>
                <xsd:element ref="ns3:VerbondNadereInformatieEmail" minOccurs="0"/>
                <xsd:element ref="ns3:VerbondTrefwoordenVrij" minOccurs="0"/>
                <xsd:element ref="ns3:VerbondKopieV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d5547-9741-40f0-96cb-8a22f0003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1" nillable="true" ma:displayName="Catch-all-kolom van taxonomie" ma:description="" ma:hidden="true" ma:list="{77ce96ed-37bc-477f-9f72-0a17aabe148e}" ma:internalName="TaxCatchAll" ma:showField="CatchAllData" ma:web="ee7d5547-9741-40f0-96cb-8a22f000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Catch-all-kolom van taxonomie1" ma:description="" ma:hidden="true" ma:list="{77ce96ed-37bc-477f-9f72-0a17aabe148e}" ma:internalName="TaxCatchAllLabel" ma:readOnly="true" ma:showField="CatchAllDataLabel" ma:web="ee7d5547-9741-40f0-96cb-8a22f000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F437-0CC0-4AFA-8C18-6BCCBE486714" elementFormDefault="qualified">
    <xsd:import namespace="http://schemas.microsoft.com/office/2006/documentManagement/types"/>
    <xsd:import namespace="http://schemas.microsoft.com/office/infopath/2007/PartnerControls"/>
    <xsd:element name="VerbondTrefwoordenThesaurusTaxHTField0" ma:index="13" nillable="true" ma:taxonomy="true" ma:internalName="VerbondTrefwoordenThesaurusTaxHTField0" ma:taxonomyFieldName="VerbondTrefwoordenThesaurus" ma:displayName="Trefwoorden thesaurus" ma:default="" ma:fieldId="{d28e1eb8-b00b-4b4f-ad40-4ba8f82d18c2}" ma:taxonomyMulti="true" ma:sspId="8ce3f23b-b48d-41e0-ba86-3924bbe6e3d0" ma:termSetId="fd86e2ae-6038-49a0-88bb-c97c86323086" ma:anchorId="40b3fec0-8945-4140-b678-4b905b82bc29" ma:open="false" ma:isKeyword="false">
      <xsd:complexType>
        <xsd:sequence>
          <xsd:element ref="pc:Terms" minOccurs="0" maxOccurs="1"/>
        </xsd:sequence>
      </xsd:complexType>
    </xsd:element>
    <xsd:element name="VerbondDocumentId" ma:index="14" nillable="true" ma:displayName="Verbond Document ID" ma:internalName="VerbondDocumentId">
      <xsd:simpleType>
        <xsd:restriction base="dms:Text">
          <xsd:maxLength value="255"/>
        </xsd:restriction>
      </xsd:simpleType>
    </xsd:element>
    <xsd:element name="VerbondBijlageBij" ma:index="15" nillable="true" ma:displayName="Bijlage bij" ma:hidden="true" ma:internalName="VerbondBijlageBij">
      <xsd:simpleType>
        <xsd:restriction base="dms:Text">
          <xsd:maxLength value="255"/>
        </xsd:restriction>
      </xsd:simpleType>
    </xsd:element>
    <xsd:element name="VerbondBewerkercode" ma:index="16" nillable="true" ma:displayName="Bewerkercode" ma:internalName="VerbondBewerkercode">
      <xsd:simpleType>
        <xsd:restriction base="dms:Unknown">
          <xsd:maxLength value="255"/>
        </xsd:restriction>
      </xsd:simpleType>
    </xsd:element>
    <xsd:element name="VerbondDagtekening" ma:index="17" nillable="true" ma:displayName="Dagtekening" ma:default="[today]" ma:format="DateOnly" ma:internalName="VerbondDagtekening">
      <xsd:simpleType>
        <xsd:restriction base="dms:DateTime"/>
      </xsd:simpleType>
    </xsd:element>
    <xsd:element name="VerbondStatus" ma:index="18" nillable="true" ma:displayName="Document status" ma:internalName="VerbondStatus">
      <xsd:simpleType>
        <xsd:restriction base="dms:Text"/>
      </xsd:simpleType>
    </xsd:element>
    <xsd:element name="VerbondClassificatie" ma:index="19" nillable="true" ma:displayName="Classificatie" ma:internalName="VerbondClassificatie">
      <xsd:simpleType>
        <xsd:restriction base="dms:Text"/>
      </xsd:simpleType>
    </xsd:element>
    <xsd:element name="VerbondNadereInformatiePicker" ma:index="20" nillable="true" ma:displayName="Nadere informatie" ma:internalName="VerbondNadereInformatiePicker">
      <xsd:simpleType>
        <xsd:restriction base="dms:Unknown"/>
      </xsd:simpleType>
    </xsd:element>
    <xsd:element name="VerbondNadereInformatieNaam" ma:index="21" nillable="true" ma:displayName="Naam" ma:internalName="VerbondNadereInformatieNaam">
      <xsd:simpleType>
        <xsd:restriction base="dms:Text">
          <xsd:maxLength value="255"/>
        </xsd:restriction>
      </xsd:simpleType>
    </xsd:element>
    <xsd:element name="VerbondNadereInformatieTelnr" ma:index="22" nillable="true" ma:displayName="Telefoonnummer" ma:internalName="VerbondNadereInformatieTelnr">
      <xsd:simpleType>
        <xsd:restriction base="dms:Text">
          <xsd:maxLength value="255"/>
        </xsd:restriction>
      </xsd:simpleType>
    </xsd:element>
    <xsd:element name="VerbondNadereInformatieFaxnr" ma:index="23" nillable="true" ma:displayName="Faxnummer" ma:internalName="VerbondNadereInformatieFaxnr">
      <xsd:simpleType>
        <xsd:restriction base="dms:Text">
          <xsd:maxLength value="255"/>
        </xsd:restriction>
      </xsd:simpleType>
    </xsd:element>
    <xsd:element name="VerbondNadereInformatieEmail" ma:index="24" nillable="true" ma:displayName="E-mailadres" ma:internalName="VerbondNadereInformatieEmail">
      <xsd:simpleType>
        <xsd:restriction base="dms:Text">
          <xsd:maxLength value="255"/>
        </xsd:restriction>
      </xsd:simpleType>
    </xsd:element>
    <xsd:element name="VerbondTrefwoordenVrij" ma:index="26" nillable="true" ma:displayName="Trefwoorden vrij" ma:internalName="VerbondTrefwoordenVrij">
      <xsd:simpleType>
        <xsd:restriction base="dms:Text">
          <xsd:maxLength value="255"/>
        </xsd:restriction>
      </xsd:simpleType>
    </xsd:element>
    <xsd:element name="VerbondKopieVan" ma:index="27" nillable="true" ma:displayName="Kopie van" ma:internalName="VerbondKopieV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nderwer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4452D-1C5D-464F-9C8D-3F7B66E50A57}">
  <ds:schemaRefs>
    <ds:schemaRef ds:uri="http://purl.org/dc/elements/1.1/"/>
    <ds:schemaRef ds:uri="http://schemas.microsoft.com/office/2006/metadata/properties"/>
    <ds:schemaRef ds:uri="58EFF437-0CC0-4AFA-8C18-6BCCBE4867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7d5547-9741-40f0-96cb-8a22f00035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A0C0D-4515-4CB8-91DE-0C988E6418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2BA624-A3B3-4D59-8623-9932C7FE78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B0735-83A4-4E9F-8D6C-DFFDAB98B2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310DE7-52AB-4A8D-84A4-19AD4822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d5547-9741-40f0-96cb-8a22f0003526"/>
    <ds:schemaRef ds:uri="58EFF437-0CC0-4AFA-8C18-6BCCBE486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Verbond van Verzekeraars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rjong</dc:creator>
  <cp:keywords/>
  <cp:lastModifiedBy>Heijdt, Brigitte van der</cp:lastModifiedBy>
  <cp:revision>2</cp:revision>
  <dcterms:created xsi:type="dcterms:W3CDTF">2019-06-28T09:54:00Z</dcterms:created>
  <dcterms:modified xsi:type="dcterms:W3CDTF">2019-06-28T09:54:00Z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2013-00121442</vt:lpwstr>
  </property>
  <property fmtid="{D5CDD505-2E9C-101B-9397-08002B2CF9AE}" pid="3" name="_dlc_DocIdItemGuid">
    <vt:lpwstr>6b88f078-8f15-4fa2-98e4-390d050b4d11</vt:lpwstr>
  </property>
  <property fmtid="{D5CDD505-2E9C-101B-9397-08002B2CF9AE}" pid="4" name="_dlc_DocIdUrl">
    <vt:lpwstr>https://www.verzekeraars.nl/samenwerken/1875349/_layouts/DocIdRedir.aspx?ID=2013-00121442, 2013-00121442</vt:lpwstr>
  </property>
  <property fmtid="{D5CDD505-2E9C-101B-9397-08002B2CF9AE}" pid="5" name="display_urn:schemas-microsoft-com:office:office#Editor">
    <vt:lpwstr>Jongejan, R.J.L. (Roald)</vt:lpwstr>
  </property>
  <property fmtid="{D5CDD505-2E9C-101B-9397-08002B2CF9AE}" pid="6" name="display_urn:schemas-microsoft-com:office:office#Author">
    <vt:lpwstr>Jongejan, R.J.L. (Roald)</vt:lpwstr>
  </property>
  <property fmtid="{D5CDD505-2E9C-101B-9397-08002B2CF9AE}" pid="7" name="VerbondTrefwoordenThesaurus">
    <vt:lpwstr>1;#Verzekeringsstatistiek|e64c6975-125d-41e4-8e17-272be5c76f8e;#7;#Markt|c002c55b-67c0-46f3-8559-f6068b61b527;#42;#Compliance|0102c8a5-2001-401c-b6bd-6384963e689f</vt:lpwstr>
  </property>
  <property fmtid="{D5CDD505-2E9C-101B-9397-08002B2CF9AE}" pid="8" name="ContentTypeId">
    <vt:lpwstr>0x010100BA572F3C77674A4CBEFD5094E59FDAC6008259144D280C45ACBF43E0830841B2F8001F720479388B9243BE96F3FA446272EE</vt:lpwstr>
  </property>
</Properties>
</file>